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653EC" w14:textId="031E6A7A" w:rsidR="00D15300" w:rsidRDefault="00D15300" w:rsidP="00D15300">
      <w:pPr>
        <w:pStyle w:val="CRCoverPage"/>
        <w:tabs>
          <w:tab w:val="right" w:pos="9639"/>
        </w:tabs>
        <w:spacing w:after="0"/>
        <w:rPr>
          <w:b/>
          <w:i/>
          <w:noProof/>
          <w:sz w:val="28"/>
        </w:rPr>
      </w:pPr>
      <w:r>
        <w:rPr>
          <w:b/>
          <w:noProof/>
          <w:sz w:val="24"/>
        </w:rPr>
        <w:t>3GPP TSG-RAN WG2 Meeting #</w:t>
      </w:r>
      <w:r w:rsidR="00BB5074">
        <w:rPr>
          <w:b/>
          <w:noProof/>
          <w:sz w:val="24"/>
        </w:rPr>
        <w:t>100</w:t>
      </w:r>
      <w:r>
        <w:rPr>
          <w:b/>
          <w:i/>
          <w:noProof/>
          <w:sz w:val="28"/>
        </w:rPr>
        <w:tab/>
      </w:r>
      <w:r w:rsidR="008E6971" w:rsidRPr="008E6971">
        <w:rPr>
          <w:b/>
          <w:noProof/>
          <w:sz w:val="28"/>
        </w:rPr>
        <w:t>R2-1713735</w:t>
      </w:r>
      <w:bookmarkStart w:id="0" w:name="_GoBack"/>
      <w:bookmarkEnd w:id="0"/>
    </w:p>
    <w:p w14:paraId="69701E68" w14:textId="4C0213F6" w:rsidR="00520803" w:rsidRPr="004977BE" w:rsidRDefault="003A3C87" w:rsidP="00520803">
      <w:pPr>
        <w:pStyle w:val="Header"/>
        <w:rPr>
          <w:lang w:val="en-GB"/>
        </w:rPr>
      </w:pPr>
      <w:r>
        <w:rPr>
          <w:rFonts w:cs="Times New Roman"/>
          <w:bCs w:val="0"/>
          <w:sz w:val="24"/>
          <w:szCs w:val="20"/>
          <w:lang w:val="en-GB" w:eastAsia="en-US"/>
        </w:rPr>
        <w:t>Reno</w:t>
      </w:r>
      <w:r w:rsidR="00BB5074">
        <w:rPr>
          <w:rFonts w:cs="Times New Roman"/>
          <w:bCs w:val="0"/>
          <w:sz w:val="24"/>
          <w:szCs w:val="20"/>
          <w:lang w:val="en-GB" w:eastAsia="en-US"/>
        </w:rPr>
        <w:t xml:space="preserve">, </w:t>
      </w:r>
      <w:r>
        <w:rPr>
          <w:rFonts w:cs="Times New Roman"/>
          <w:bCs w:val="0"/>
          <w:sz w:val="24"/>
          <w:szCs w:val="20"/>
          <w:lang w:val="en-GB" w:eastAsia="en-US"/>
        </w:rPr>
        <w:t>US</w:t>
      </w:r>
      <w:r w:rsidR="00BB5074">
        <w:rPr>
          <w:rFonts w:cs="Times New Roman"/>
          <w:bCs w:val="0"/>
          <w:sz w:val="24"/>
          <w:szCs w:val="20"/>
          <w:lang w:val="en-GB" w:eastAsia="en-US"/>
        </w:rPr>
        <w:t xml:space="preserve">, </w:t>
      </w:r>
      <w:r>
        <w:rPr>
          <w:rFonts w:cs="Times New Roman"/>
          <w:bCs w:val="0"/>
          <w:sz w:val="24"/>
          <w:szCs w:val="20"/>
          <w:lang w:val="en-GB" w:eastAsia="en-US"/>
        </w:rPr>
        <w:t xml:space="preserve">27th </w:t>
      </w:r>
      <w:r w:rsidR="00BB5074">
        <w:rPr>
          <w:rFonts w:cs="Times New Roman"/>
          <w:bCs w:val="0"/>
          <w:sz w:val="24"/>
          <w:szCs w:val="20"/>
          <w:lang w:val="en-GB" w:eastAsia="en-US"/>
        </w:rPr>
        <w:t>November</w:t>
      </w:r>
      <w:r w:rsidR="00520803" w:rsidRPr="00520803">
        <w:rPr>
          <w:rFonts w:cs="Times New Roman"/>
          <w:bCs w:val="0"/>
          <w:sz w:val="24"/>
          <w:szCs w:val="20"/>
          <w:lang w:val="en-GB" w:eastAsia="en-US"/>
        </w:rPr>
        <w:t xml:space="preserve"> </w:t>
      </w:r>
      <w:r>
        <w:rPr>
          <w:rFonts w:cs="Times New Roman"/>
          <w:bCs w:val="0"/>
          <w:sz w:val="24"/>
          <w:szCs w:val="20"/>
          <w:lang w:val="en-GB" w:eastAsia="en-US"/>
        </w:rPr>
        <w:t>– 1</w:t>
      </w:r>
      <w:r w:rsidRPr="003A3C87">
        <w:rPr>
          <w:rFonts w:cs="Times New Roman"/>
          <w:bCs w:val="0"/>
          <w:sz w:val="24"/>
          <w:szCs w:val="20"/>
          <w:vertAlign w:val="superscript"/>
          <w:lang w:val="en-GB" w:eastAsia="en-US"/>
        </w:rPr>
        <w:t>st</w:t>
      </w:r>
      <w:r>
        <w:rPr>
          <w:rFonts w:cs="Times New Roman"/>
          <w:bCs w:val="0"/>
          <w:sz w:val="24"/>
          <w:szCs w:val="20"/>
          <w:lang w:val="en-GB" w:eastAsia="en-US"/>
        </w:rPr>
        <w:t xml:space="preserve"> December</w:t>
      </w:r>
    </w:p>
    <w:p w14:paraId="0D4B63A3" w14:textId="68F36417" w:rsidR="00520803" w:rsidRPr="004977BE" w:rsidRDefault="00520803" w:rsidP="00520803">
      <w:pPr>
        <w:pStyle w:val="Header"/>
        <w:rPr>
          <w:lang w:val="en-GB"/>
        </w:rPr>
      </w:pPr>
    </w:p>
    <w:p w14:paraId="3928DDFD" w14:textId="77777777" w:rsidR="00234FBD" w:rsidRPr="00BF7FE1" w:rsidRDefault="00234FBD" w:rsidP="00234FBD">
      <w:pPr>
        <w:pStyle w:val="3GPPHeader"/>
      </w:pPr>
    </w:p>
    <w:p w14:paraId="1BE6B8C1" w14:textId="331CB75A" w:rsidR="00BF63B4" w:rsidRDefault="00234FBD" w:rsidP="00C91A48">
      <w:pPr>
        <w:pStyle w:val="3GPPHeader"/>
        <w:rPr>
          <w:sz w:val="22"/>
          <w:szCs w:val="22"/>
          <w:lang w:val="en-US"/>
        </w:rPr>
      </w:pPr>
      <w:r w:rsidRPr="00F768C7">
        <w:rPr>
          <w:sz w:val="22"/>
          <w:szCs w:val="22"/>
          <w:lang w:val="en-US"/>
        </w:rPr>
        <w:t>Agenda Item:</w:t>
      </w:r>
      <w:r w:rsidRPr="00F768C7">
        <w:rPr>
          <w:sz w:val="22"/>
          <w:szCs w:val="22"/>
          <w:lang w:val="en-US"/>
        </w:rPr>
        <w:tab/>
      </w:r>
      <w:r w:rsidR="00D2290F" w:rsidRPr="007911C2">
        <w:t>10.4.1.4.1</w:t>
      </w:r>
    </w:p>
    <w:p w14:paraId="65BFEB30" w14:textId="10E0D20B"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04E0E996" w:rsidR="00C91A48" w:rsidRPr="00CE0424" w:rsidRDefault="00C91A48" w:rsidP="00C91A48">
      <w:pPr>
        <w:pStyle w:val="3GPPHeader"/>
        <w:rPr>
          <w:sz w:val="22"/>
          <w:szCs w:val="22"/>
        </w:rPr>
      </w:pPr>
      <w:r>
        <w:rPr>
          <w:sz w:val="22"/>
          <w:szCs w:val="22"/>
        </w:rPr>
        <w:t>Title:</w:t>
      </w:r>
      <w:r w:rsidRPr="00CE0424">
        <w:rPr>
          <w:sz w:val="22"/>
          <w:szCs w:val="22"/>
        </w:rPr>
        <w:tab/>
      </w:r>
      <w:r w:rsidR="00C8343A">
        <w:rPr>
          <w:sz w:val="22"/>
          <w:szCs w:val="22"/>
        </w:rPr>
        <w:t>R</w:t>
      </w:r>
      <w:r w:rsidR="00856922">
        <w:rPr>
          <w:sz w:val="22"/>
          <w:szCs w:val="22"/>
        </w:rPr>
        <w:t>emaining details</w:t>
      </w:r>
      <w:r w:rsidR="00C8343A">
        <w:rPr>
          <w:sz w:val="22"/>
          <w:szCs w:val="22"/>
        </w:rPr>
        <w:t xml:space="preserve"> for MO</w:t>
      </w:r>
      <w:r w:rsidR="00412BC6">
        <w:rPr>
          <w:sz w:val="22"/>
          <w:szCs w:val="22"/>
        </w:rPr>
        <w:t xml:space="preserve"> definition</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60CAC5F" w14:textId="0DFB3735" w:rsidR="007D0E4A" w:rsidRDefault="007D0E4A" w:rsidP="005D7E92">
      <w:pPr>
        <w:pStyle w:val="BodyText"/>
        <w:rPr>
          <w:rFonts w:cs="Arial"/>
          <w:lang w:val="en-US"/>
        </w:rPr>
      </w:pPr>
      <w:bookmarkStart w:id="1" w:name="_Ref178064866"/>
      <w:r>
        <w:rPr>
          <w:rFonts w:cs="Arial"/>
          <w:lang w:val="en-US"/>
        </w:rPr>
        <w:t>In RAN2#99</w:t>
      </w:r>
      <w:r w:rsidR="00CD1AC5">
        <w:rPr>
          <w:rFonts w:cs="Arial"/>
          <w:lang w:val="en-US"/>
        </w:rPr>
        <w:t>,</w:t>
      </w:r>
      <w:r w:rsidR="005D7E92" w:rsidRPr="0099216C">
        <w:rPr>
          <w:rFonts w:cs="Arial"/>
          <w:lang w:val="en-US"/>
        </w:rPr>
        <w:t xml:space="preserve"> </w:t>
      </w:r>
      <w:r w:rsidR="00CD1AC5">
        <w:rPr>
          <w:rFonts w:cs="Arial"/>
          <w:lang w:val="en-US"/>
        </w:rPr>
        <w:t>t</w:t>
      </w:r>
      <w:r>
        <w:rPr>
          <w:rFonts w:cs="Arial"/>
          <w:lang w:val="en-US"/>
        </w:rPr>
        <w:t xml:space="preserve">he following agreements </w:t>
      </w:r>
      <w:r w:rsidR="00CD1AC5">
        <w:rPr>
          <w:rFonts w:cs="Arial"/>
          <w:lang w:val="en-US"/>
        </w:rPr>
        <w:t>w</w:t>
      </w:r>
      <w:r>
        <w:rPr>
          <w:rFonts w:cs="Arial"/>
          <w:lang w:val="en-US"/>
        </w:rPr>
        <w:t>ere reached</w:t>
      </w:r>
      <w:r w:rsidR="00CD1AC5">
        <w:rPr>
          <w:rFonts w:cs="Arial"/>
          <w:lang w:val="en-US"/>
        </w:rPr>
        <w:t xml:space="preserve"> </w:t>
      </w:r>
      <w:r w:rsidR="00411A00">
        <w:rPr>
          <w:rFonts w:cs="Arial"/>
          <w:lang w:val="en-US"/>
        </w:rPr>
        <w:t xml:space="preserve">for a measurement object for a carrier that has SSB, agreement number 3, and for a carrier that does not have SSB, agreement number 2. </w:t>
      </w:r>
    </w:p>
    <w:p w14:paraId="7E6695A7" w14:textId="77777777" w:rsidR="007D0E4A" w:rsidRDefault="007D0E4A" w:rsidP="007D0E4A">
      <w:pPr>
        <w:pStyle w:val="Doc-text2"/>
      </w:pPr>
    </w:p>
    <w:p w14:paraId="40881F6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Agreements</w:t>
      </w:r>
    </w:p>
    <w:p w14:paraId="41299673"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1</w:t>
      </w:r>
      <w:r>
        <w:tab/>
        <w:t>There is one NR-ARFCN per MO</w:t>
      </w:r>
    </w:p>
    <w:p w14:paraId="737D800F"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30A6A7D3"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2</w:t>
      </w:r>
      <w:r>
        <w:tab/>
      </w:r>
      <w:r w:rsidRPr="00B71526">
        <w:t>For measurements of carriers where SSB</w:t>
      </w:r>
      <w:r>
        <w:t xml:space="preserve"> is not present (measurements performed on CSI-RS):</w:t>
      </w:r>
    </w:p>
    <w:p w14:paraId="0481248B"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i</w:t>
      </w:r>
      <w:r>
        <w:tab/>
        <w:t>MO includes CSI-RS resources for L3 mobility measurements; and</w:t>
      </w:r>
    </w:p>
    <w:p w14:paraId="6963A8A2"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ii</w:t>
      </w:r>
      <w:r>
        <w:tab/>
        <w:t>MO includes some indication that no SSB is provided on this carrier.</w:t>
      </w:r>
    </w:p>
    <w:p w14:paraId="2F493B46"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2773BFE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1E95C1BC"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3</w:t>
      </w:r>
      <w:r>
        <w:tab/>
        <w:t>For measurements of carriers where SSB is present:</w:t>
      </w:r>
    </w:p>
    <w:p w14:paraId="7236015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b/>
        <w:t xml:space="preserve">If SSB is not located in the centre of the carrier, then offset to the ARFCN provides the location in frequency of the SSB within that carrier. </w:t>
      </w:r>
    </w:p>
    <w:p w14:paraId="1CDE61B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FFS Whether the MO has only one SSB or whether the MO can include the location of more than one SSB.</w:t>
      </w:r>
    </w:p>
    <w:p w14:paraId="1A576DBE"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2719D7B5"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Agreements above relate to a single BWP in which case the NR ARFCN would be the centre of the BWP. Case of multiple BWPs is FFS</w:t>
      </w:r>
    </w:p>
    <w:p w14:paraId="5A1E3460" w14:textId="0906F4F6" w:rsidR="00B87FFE" w:rsidRPr="00194A27" w:rsidRDefault="00B87FFE" w:rsidP="00E53B48">
      <w:pPr>
        <w:pStyle w:val="BodyText"/>
        <w:rPr>
          <w:rFonts w:cs="Arial"/>
        </w:rPr>
      </w:pPr>
    </w:p>
    <w:p w14:paraId="0CB6D773" w14:textId="18629727" w:rsidR="00B87FFE" w:rsidRDefault="006279C4" w:rsidP="00E53B48">
      <w:pPr>
        <w:pStyle w:val="BodyText"/>
        <w:rPr>
          <w:rFonts w:cs="Arial"/>
          <w:lang w:val="en-US"/>
        </w:rPr>
      </w:pPr>
      <w:r>
        <w:rPr>
          <w:rFonts w:cs="Arial"/>
          <w:lang w:val="en-US"/>
        </w:rPr>
        <w:t>In RAN2#99bis,</w:t>
      </w:r>
      <w:r w:rsidRPr="0099216C">
        <w:rPr>
          <w:rFonts w:cs="Arial"/>
          <w:lang w:val="en-US"/>
        </w:rPr>
        <w:t xml:space="preserve"> </w:t>
      </w:r>
      <w:r>
        <w:rPr>
          <w:rFonts w:cs="Arial"/>
          <w:lang w:val="en-US"/>
        </w:rPr>
        <w:t>the following agreements were reached under measurement configuration:</w:t>
      </w:r>
    </w:p>
    <w:p w14:paraId="40BCF7F3" w14:textId="7CCD3201" w:rsidR="003502F0" w:rsidRDefault="003502F0" w:rsidP="00E53B48">
      <w:pPr>
        <w:pStyle w:val="BodyText"/>
        <w:rPr>
          <w:rFonts w:cs="Arial"/>
          <w:lang w:val="en-US"/>
        </w:rPr>
      </w:pPr>
    </w:p>
    <w:p w14:paraId="1393DC2A" w14:textId="77777777" w:rsidR="003502F0" w:rsidRDefault="003502F0" w:rsidP="003502F0">
      <w:pPr>
        <w:pStyle w:val="Doc-text2"/>
      </w:pPr>
    </w:p>
    <w:p w14:paraId="2A71F84C"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r>
        <w:t>Agreements</w:t>
      </w:r>
    </w:p>
    <w:p w14:paraId="714F488F"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r>
        <w:t>1 cellIndividualOffset in MO is enough, no need for the cell offset in report configuration.</w:t>
      </w:r>
    </w:p>
    <w:p w14:paraId="099F84B2"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p>
    <w:p w14:paraId="47B2661F"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r>
        <w:t>FFS How MO can be used in the case of a location of the SSB is distant in frequency from the CSI-RS resources to be measures. (e.g. is it possible to configure an MO with no SSB and to reference another MO for the SSB that provides timing reference, or SSB configuration is provided in every MO, etc)</w:t>
      </w:r>
    </w:p>
    <w:p w14:paraId="6DBF1409" w14:textId="09EF32BB" w:rsidR="003502F0" w:rsidRDefault="003502F0" w:rsidP="003502F0">
      <w:pPr>
        <w:pStyle w:val="Doc-text2"/>
      </w:pPr>
      <w:r>
        <w:t>=&gt;</w:t>
      </w:r>
      <w:r>
        <w:tab/>
        <w:t>We will revisit decision on MO containing a centre frequency plus offset to locate the SSB frequency when RAN4 has concluded discussion of the measurement raster.</w:t>
      </w:r>
    </w:p>
    <w:p w14:paraId="385E9101" w14:textId="77777777" w:rsidR="00133D3A" w:rsidRDefault="00133D3A" w:rsidP="00133D3A">
      <w:pPr>
        <w:pStyle w:val="Doc-text2"/>
      </w:pPr>
      <w:r>
        <w:t>=&gt;</w:t>
      </w:r>
      <w:r>
        <w:tab/>
        <w:t xml:space="preserve">Check within the RRM TP how the UE identifies the CSI-RS resources from those configured in the MO for the serving cell for the purpose of RRM measurement. </w:t>
      </w:r>
    </w:p>
    <w:p w14:paraId="3879F49B" w14:textId="77777777" w:rsidR="00133D3A" w:rsidRDefault="00133D3A" w:rsidP="003502F0">
      <w:pPr>
        <w:pStyle w:val="Doc-text2"/>
      </w:pPr>
    </w:p>
    <w:p w14:paraId="67044493" w14:textId="14169735" w:rsidR="003502F0" w:rsidRDefault="003502F0" w:rsidP="00E53B48">
      <w:pPr>
        <w:pStyle w:val="BodyText"/>
        <w:rPr>
          <w:rFonts w:cs="Arial"/>
          <w:lang w:val="en-US"/>
        </w:rPr>
      </w:pPr>
    </w:p>
    <w:p w14:paraId="615BE409" w14:textId="33C47FE3" w:rsidR="006279C4" w:rsidRDefault="006279C4" w:rsidP="006279C4">
      <w:pPr>
        <w:pStyle w:val="Doc-text2"/>
        <w:ind w:left="0" w:firstLine="0"/>
      </w:pPr>
      <w:r>
        <w:rPr>
          <w:rFonts w:cs="Arial"/>
          <w:lang w:val="en-US"/>
        </w:rPr>
        <w:lastRenderedPageBreak/>
        <w:t>In RAN2#99bis,</w:t>
      </w:r>
      <w:r w:rsidRPr="0099216C">
        <w:rPr>
          <w:rFonts w:cs="Arial"/>
          <w:lang w:val="en-US"/>
        </w:rPr>
        <w:t xml:space="preserve"> </w:t>
      </w:r>
      <w:r>
        <w:rPr>
          <w:rFonts w:cs="Arial"/>
          <w:lang w:val="en-US"/>
        </w:rPr>
        <w:t xml:space="preserve">the following agreements were reached </w:t>
      </w:r>
      <w:r w:rsidR="00F37240">
        <w:rPr>
          <w:rFonts w:cs="Arial"/>
          <w:lang w:val="en-US"/>
        </w:rPr>
        <w:t>under impacts for BWPs AI, where some relevant agreements are highlited:</w:t>
      </w:r>
    </w:p>
    <w:p w14:paraId="1D482036"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Agreements for BWP operation in CONNECTED mode:</w:t>
      </w:r>
    </w:p>
    <w:p w14:paraId="73088384"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1:</w:t>
      </w:r>
      <w:r>
        <w:tab/>
        <w:t>BWP impacts on the CONNECTED mode will be progressed by Dec 17.  Impacts to IDLE mode/INACTIVE mode UEs will be discussed with SA after Dec 17.</w:t>
      </w:r>
    </w:p>
    <w:p w14:paraId="28AA5F3B"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2a:</w:t>
      </w:r>
      <w:r>
        <w:tab/>
        <w:t xml:space="preserve">RRC signalling supports to configure 1 or more BWPs (both for DL BWP and UL BWP) for a serving cell (PCell, PSCell). </w:t>
      </w:r>
    </w:p>
    <w:p w14:paraId="2B143313"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2b</w:t>
      </w:r>
      <w:r>
        <w:tab/>
      </w:r>
      <w:r w:rsidRPr="00522720">
        <w:t xml:space="preserve">RRC signalling supports to configure </w:t>
      </w:r>
      <w:r>
        <w:t>0, 1</w:t>
      </w:r>
      <w:r w:rsidRPr="00522720">
        <w:t xml:space="preserve"> or more BWPs (both for DL BWP and UL BWP) for a serving cell </w:t>
      </w:r>
      <w:r>
        <w:t>SCell (at least 1 DL BWP) (impact of SUL still to be discussed)</w:t>
      </w:r>
    </w:p>
    <w:p w14:paraId="40F8352C"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3</w:t>
      </w:r>
      <w:r>
        <w:tab/>
      </w:r>
      <w:r w:rsidRPr="00F37240">
        <w:rPr>
          <w:highlight w:val="yellow"/>
        </w:rPr>
        <w:t>For a UE, the PCell, PSCell and each SCell has a single associated SSB in frequency (RAN1 terminology is the is the 'cell defining SSB')</w:t>
      </w:r>
    </w:p>
    <w:p w14:paraId="0D1CA796"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4</w:t>
      </w:r>
      <w:r>
        <w:tab/>
      </w:r>
      <w:r w:rsidRPr="00F37240">
        <w:rPr>
          <w:highlight w:val="yellow"/>
        </w:rPr>
        <w:t>Cell defining SS block can be changed by synchronous reconfiguration for PCell/PSCell and SCell release/add for the SCell.</w:t>
      </w:r>
    </w:p>
    <w:p w14:paraId="1F55EDBA"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5</w:t>
      </w:r>
      <w:r>
        <w:tab/>
      </w:r>
      <w:r w:rsidRPr="00F37240">
        <w:rPr>
          <w:highlight w:val="yellow"/>
        </w:rPr>
        <w:t>Each SS block frequency which needs to be measured by the UE should be configured as individual measurement object (i.e. one measurement object corresponds to a single SS block frequency).</w:t>
      </w:r>
    </w:p>
    <w:p w14:paraId="3E8DAFF1"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6</w:t>
      </w:r>
      <w:r>
        <w:tab/>
        <w:t>The cell defining SS block is considered as the time reference of the serving cell, and for RRM serving cell measurements based on SSB (irrespective of which BWP is activated).</w:t>
      </w:r>
    </w:p>
    <w:p w14:paraId="5CA3934E"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p>
    <w:p w14:paraId="0A57009D" w14:textId="77777777" w:rsidR="006279C4" w:rsidRDefault="006279C4" w:rsidP="006279C4">
      <w:pPr>
        <w:pStyle w:val="Doc-text2"/>
      </w:pPr>
      <w:r>
        <w:t>=&gt;</w:t>
      </w:r>
      <w:r>
        <w:tab/>
        <w:t>Can be discussed after Dec 17 or in a future release whether further optimisation is needed for change of SS block location in frequency (but with no change to PCI and no change in SFN) to be changed by RRC reconfiguration of physical layer parameters with no L2 involvement.</w:t>
      </w:r>
    </w:p>
    <w:p w14:paraId="41B383DA" w14:textId="77777777" w:rsidR="006279C4" w:rsidRDefault="006279C4" w:rsidP="00E53B48">
      <w:pPr>
        <w:pStyle w:val="BodyText"/>
        <w:rPr>
          <w:rFonts w:cs="Arial"/>
          <w:lang w:val="en-US"/>
        </w:rPr>
      </w:pPr>
    </w:p>
    <w:p w14:paraId="25F67F06" w14:textId="0E014FDA" w:rsidR="007403BD" w:rsidRDefault="006934A8" w:rsidP="00E53B48">
      <w:pPr>
        <w:pStyle w:val="BodyText"/>
        <w:rPr>
          <w:rFonts w:cs="Arial"/>
          <w:lang w:val="en-US"/>
        </w:rPr>
      </w:pPr>
      <w:r>
        <w:rPr>
          <w:rFonts w:cs="Arial"/>
          <w:lang w:val="en-US"/>
        </w:rPr>
        <w:t>In this contribution, we</w:t>
      </w:r>
      <w:r w:rsidR="005D7E92" w:rsidRPr="0099216C">
        <w:rPr>
          <w:rFonts w:cs="Arial"/>
          <w:lang w:val="en-US"/>
        </w:rPr>
        <w:t xml:space="preserve"> </w:t>
      </w:r>
      <w:r w:rsidR="00BA1D9F">
        <w:rPr>
          <w:rFonts w:cs="Arial"/>
          <w:lang w:val="en-US"/>
        </w:rPr>
        <w:t>address the FFS points of the above agreements</w:t>
      </w:r>
      <w:r w:rsidR="007403BD">
        <w:rPr>
          <w:rFonts w:cs="Arial"/>
          <w:lang w:val="en-US"/>
        </w:rPr>
        <w:t>.</w:t>
      </w:r>
    </w:p>
    <w:bookmarkEnd w:id="1"/>
    <w:p w14:paraId="66DF8436" w14:textId="2FEA83BA" w:rsidR="002A3BF3" w:rsidRDefault="00A76692" w:rsidP="002A3BF3">
      <w:pPr>
        <w:pStyle w:val="Heading1"/>
      </w:pPr>
      <w:r>
        <w:t>MO reference point</w:t>
      </w:r>
    </w:p>
    <w:p w14:paraId="6F0E9FE8" w14:textId="7D051FFD" w:rsidR="00203016" w:rsidRDefault="00805AF5" w:rsidP="00805AF5">
      <w:r>
        <w:t xml:space="preserve">RAN2 has defined </w:t>
      </w:r>
      <w:r w:rsidR="00A7261F">
        <w:t xml:space="preserve">in RAN2#99 </w:t>
      </w:r>
      <w:r>
        <w:t>th</w:t>
      </w:r>
      <w:r w:rsidR="00A7261F">
        <w:t>at a MO is defined by NR-ARFCN</w:t>
      </w:r>
      <w:r w:rsidR="00203016">
        <w:t xml:space="preserve">. Additionally, RAN2 agreed that MO should include frequency offset to point to an SSB as SSB might not be at the centre of NR-ARFCN. </w:t>
      </w:r>
      <w:r w:rsidR="00626A93">
        <w:t xml:space="preserve">This is a nice definition as it keeps the LTE principle of defining MO as (G)ARFCN. </w:t>
      </w:r>
      <w:r w:rsidR="00203016">
        <w:t>I</w:t>
      </w:r>
      <w:r w:rsidR="00A7261F">
        <w:t>n RAN2#99bis</w:t>
      </w:r>
      <w:r w:rsidR="00203016">
        <w:t xml:space="preserve"> it was stated</w:t>
      </w:r>
      <w:r w:rsidR="00A7261F">
        <w:t xml:space="preserve"> that</w:t>
      </w:r>
      <w:r w:rsidR="00203016">
        <w:t xml:space="preserve"> the MO definition is revisited when RAN4 has concluded discussion on the measurement raster. RAN4 agreed on a way forward </w:t>
      </w:r>
      <w:r w:rsidR="00203016">
        <w:fldChar w:fldCharType="begin"/>
      </w:r>
      <w:r w:rsidR="00203016">
        <w:instrText xml:space="preserve"> REF _Ref497422270 \r \h </w:instrText>
      </w:r>
      <w:r w:rsidR="00203016">
        <w:fldChar w:fldCharType="separate"/>
      </w:r>
      <w:r w:rsidR="00203016">
        <w:t>[5]</w:t>
      </w:r>
      <w:r w:rsidR="00203016">
        <w:fldChar w:fldCharType="end"/>
      </w:r>
      <w:r w:rsidR="00203016">
        <w:t xml:space="preserve"> for the </w:t>
      </w:r>
      <w:r w:rsidR="0092107D">
        <w:t xml:space="preserve">SCS based </w:t>
      </w:r>
      <w:r w:rsidR="00203016">
        <w:t>channel raster which states:</w:t>
      </w:r>
    </w:p>
    <w:p w14:paraId="2963778D" w14:textId="77777777" w:rsidR="00BC44EF" w:rsidRPr="00203016" w:rsidRDefault="00A44253" w:rsidP="00626A93">
      <w:pPr>
        <w:numPr>
          <w:ilvl w:val="0"/>
          <w:numId w:val="46"/>
        </w:numPr>
        <w:spacing w:after="0"/>
        <w:ind w:hanging="357"/>
        <w:rPr>
          <w:i/>
          <w:lang w:val="en-US"/>
        </w:rPr>
      </w:pPr>
      <w:r w:rsidRPr="00203016">
        <w:rPr>
          <w:i/>
          <w:lang w:val="en-US"/>
        </w:rPr>
        <w:t>Raster will be based on absolute frequency values</w:t>
      </w:r>
    </w:p>
    <w:p w14:paraId="67EE1ED6" w14:textId="77777777" w:rsidR="00BC44EF" w:rsidRPr="00203016" w:rsidRDefault="00A44253" w:rsidP="00626A93">
      <w:pPr>
        <w:numPr>
          <w:ilvl w:val="1"/>
          <w:numId w:val="46"/>
        </w:numPr>
        <w:spacing w:after="0"/>
        <w:ind w:hanging="357"/>
        <w:rPr>
          <w:i/>
          <w:lang w:val="en-US"/>
        </w:rPr>
      </w:pPr>
      <w:r w:rsidRPr="00203016">
        <w:rPr>
          <w:i/>
          <w:lang w:val="en-US"/>
        </w:rPr>
        <w:t>The raster positions will be integer multiples of 15kHz for sub6 bands</w:t>
      </w:r>
    </w:p>
    <w:p w14:paraId="3521D494" w14:textId="77777777" w:rsidR="00BC44EF" w:rsidRPr="00203016" w:rsidRDefault="00A44253" w:rsidP="00626A93">
      <w:pPr>
        <w:numPr>
          <w:ilvl w:val="1"/>
          <w:numId w:val="46"/>
        </w:numPr>
        <w:spacing w:after="0"/>
        <w:ind w:hanging="357"/>
        <w:rPr>
          <w:i/>
          <w:lang w:val="en-US"/>
        </w:rPr>
      </w:pPr>
      <w:r w:rsidRPr="00203016">
        <w:rPr>
          <w:i/>
          <w:lang w:val="en-US"/>
        </w:rPr>
        <w:t>The raster positions will be integer multiples of 60kHz for mmWave range bands</w:t>
      </w:r>
    </w:p>
    <w:p w14:paraId="6DE50DA0" w14:textId="77777777" w:rsidR="00BC44EF" w:rsidRPr="00203016" w:rsidRDefault="00A44253" w:rsidP="00626A93">
      <w:pPr>
        <w:numPr>
          <w:ilvl w:val="0"/>
          <w:numId w:val="46"/>
        </w:numPr>
        <w:spacing w:after="0"/>
        <w:ind w:hanging="357"/>
        <w:rPr>
          <w:i/>
          <w:lang w:val="en-US"/>
        </w:rPr>
      </w:pPr>
      <w:r w:rsidRPr="00203016">
        <w:rPr>
          <w:i/>
          <w:lang w:val="en-US"/>
        </w:rPr>
        <w:t>Options for numbering of the raster entries:</w:t>
      </w:r>
    </w:p>
    <w:p w14:paraId="0748A77E" w14:textId="77777777" w:rsidR="00BC44EF" w:rsidRPr="001F0CDB" w:rsidRDefault="00A44253" w:rsidP="00626A93">
      <w:pPr>
        <w:numPr>
          <w:ilvl w:val="1"/>
          <w:numId w:val="46"/>
        </w:numPr>
        <w:spacing w:after="0"/>
        <w:ind w:hanging="357"/>
        <w:rPr>
          <w:i/>
          <w:highlight w:val="yellow"/>
          <w:lang w:val="fi-FI"/>
        </w:rPr>
      </w:pPr>
      <w:r w:rsidRPr="001F0CDB">
        <w:rPr>
          <w:i/>
          <w:highlight w:val="yellow"/>
          <w:lang w:val="en-US"/>
        </w:rPr>
        <w:t>Raster entries are band specific</w:t>
      </w:r>
    </w:p>
    <w:p w14:paraId="094E43B3" w14:textId="77777777" w:rsidR="00BC44EF" w:rsidRPr="001F0CDB" w:rsidRDefault="00A44253" w:rsidP="00626A93">
      <w:pPr>
        <w:numPr>
          <w:ilvl w:val="1"/>
          <w:numId w:val="46"/>
        </w:numPr>
        <w:spacing w:after="0"/>
        <w:ind w:hanging="357"/>
        <w:rPr>
          <w:i/>
          <w:highlight w:val="yellow"/>
          <w:lang w:val="en-US"/>
        </w:rPr>
      </w:pPr>
      <w:r w:rsidRPr="001F0CDB">
        <w:rPr>
          <w:i/>
          <w:highlight w:val="yellow"/>
          <w:lang w:val="en-US"/>
        </w:rPr>
        <w:t>Raster entries are indexed from 0kHz</w:t>
      </w:r>
    </w:p>
    <w:p w14:paraId="1A87E2FA" w14:textId="77777777" w:rsidR="00BC44EF" w:rsidRPr="00203016" w:rsidRDefault="00A44253" w:rsidP="00626A93">
      <w:pPr>
        <w:numPr>
          <w:ilvl w:val="0"/>
          <w:numId w:val="46"/>
        </w:numPr>
        <w:spacing w:after="0"/>
        <w:ind w:hanging="357"/>
        <w:rPr>
          <w:i/>
          <w:lang w:val="fi-FI"/>
        </w:rPr>
      </w:pPr>
      <w:r w:rsidRPr="00203016">
        <w:rPr>
          <w:i/>
          <w:lang w:val="en-US"/>
        </w:rPr>
        <w:t>Raster to subcarrier position mapping</w:t>
      </w:r>
    </w:p>
    <w:p w14:paraId="6A1B4618" w14:textId="77777777" w:rsidR="00BC44EF" w:rsidRPr="00203016" w:rsidRDefault="00A44253" w:rsidP="00626A93">
      <w:pPr>
        <w:numPr>
          <w:ilvl w:val="1"/>
          <w:numId w:val="46"/>
        </w:numPr>
        <w:spacing w:after="0"/>
        <w:ind w:hanging="357"/>
        <w:rPr>
          <w:i/>
          <w:lang w:val="en-US"/>
        </w:rPr>
      </w:pPr>
      <w:r w:rsidRPr="00203016">
        <w:rPr>
          <w:i/>
          <w:lang w:val="en-US"/>
        </w:rPr>
        <w:t xml:space="preserve">Raster points to the center of the channel </w:t>
      </w:r>
    </w:p>
    <w:p w14:paraId="335CE62E" w14:textId="77777777" w:rsidR="00BC44EF" w:rsidRPr="00203016" w:rsidRDefault="00A44253" w:rsidP="00626A93">
      <w:pPr>
        <w:numPr>
          <w:ilvl w:val="2"/>
          <w:numId w:val="46"/>
        </w:numPr>
        <w:spacing w:after="0"/>
        <w:ind w:hanging="357"/>
        <w:rPr>
          <w:i/>
          <w:lang w:val="en-US"/>
        </w:rPr>
      </w:pPr>
      <w:r w:rsidRPr="00203016">
        <w:rPr>
          <w:i/>
          <w:lang w:val="en-US"/>
        </w:rPr>
        <w:t>SC#0 of RB# N</w:t>
      </w:r>
      <w:r w:rsidRPr="00203016">
        <w:rPr>
          <w:i/>
          <w:vertAlign w:val="subscript"/>
          <w:lang w:val="en-US"/>
        </w:rPr>
        <w:t>RB</w:t>
      </w:r>
      <w:r w:rsidRPr="00203016">
        <w:rPr>
          <w:i/>
          <w:lang w:val="en-US"/>
        </w:rPr>
        <w:t>/2 for even number of RBs</w:t>
      </w:r>
    </w:p>
    <w:p w14:paraId="446A773A" w14:textId="19A2A4E7" w:rsidR="00203016" w:rsidRPr="00626A93" w:rsidRDefault="00A44253" w:rsidP="001F18DE">
      <w:pPr>
        <w:numPr>
          <w:ilvl w:val="2"/>
          <w:numId w:val="46"/>
        </w:numPr>
        <w:spacing w:after="0"/>
        <w:ind w:hanging="357"/>
        <w:rPr>
          <w:lang w:val="en-US"/>
        </w:rPr>
      </w:pPr>
      <w:r w:rsidRPr="00626A93">
        <w:rPr>
          <w:i/>
          <w:lang w:val="en-US"/>
        </w:rPr>
        <w:t>SC#6 of RB# floor(N</w:t>
      </w:r>
      <w:r w:rsidRPr="00626A93">
        <w:rPr>
          <w:i/>
          <w:vertAlign w:val="subscript"/>
          <w:lang w:val="en-US"/>
        </w:rPr>
        <w:t>RB</w:t>
      </w:r>
      <w:r w:rsidRPr="00626A93">
        <w:rPr>
          <w:i/>
          <w:lang w:val="en-US"/>
        </w:rPr>
        <w:t>/2)for odd number of RBs</w:t>
      </w:r>
    </w:p>
    <w:p w14:paraId="0F9CF8CE" w14:textId="77777777" w:rsidR="00626A93" w:rsidRPr="00626A93" w:rsidRDefault="00626A93" w:rsidP="00626A93">
      <w:pPr>
        <w:spacing w:after="0"/>
        <w:ind w:left="2160"/>
        <w:rPr>
          <w:lang w:val="en-US"/>
        </w:rPr>
      </w:pPr>
    </w:p>
    <w:p w14:paraId="6559AC33" w14:textId="20B206DB" w:rsidR="00671C47" w:rsidRDefault="00CD0724" w:rsidP="00671C47">
      <w:pPr>
        <w:rPr>
          <w:rFonts w:cs="Arial"/>
          <w:lang w:val="en-US" w:eastAsia="fi-FI"/>
        </w:rPr>
      </w:pPr>
      <w:r>
        <w:rPr>
          <w:lang w:val="en-US"/>
        </w:rPr>
        <w:t xml:space="preserve">It seems that to translate the channel raster in bits, there are </w:t>
      </w:r>
      <w:r w:rsidR="001F0CDB">
        <w:rPr>
          <w:lang w:val="en-US"/>
        </w:rPr>
        <w:t>two</w:t>
      </w:r>
      <w:r>
        <w:rPr>
          <w:lang w:val="en-US"/>
        </w:rPr>
        <w:t xml:space="preserve"> option how to do it</w:t>
      </w:r>
      <w:r w:rsidR="001F0CDB">
        <w:rPr>
          <w:lang w:val="en-US"/>
        </w:rPr>
        <w:t xml:space="preserve"> as highlighted above</w:t>
      </w:r>
      <w:r>
        <w:rPr>
          <w:lang w:val="en-US"/>
        </w:rPr>
        <w:t xml:space="preserve">. This task is up to RAN4 and currently not finished. </w:t>
      </w:r>
      <w:r w:rsidR="001F0CDB">
        <w:rPr>
          <w:lang w:val="en-US"/>
        </w:rPr>
        <w:t>O</w:t>
      </w:r>
      <w:r>
        <w:rPr>
          <w:lang w:val="en-US"/>
        </w:rPr>
        <w:t xml:space="preserve">ne option is to use universal numbering from 0 Hz. Then, assuming 15 kHz raster from 0 to 24 GHz and 60 kHz raster from 24 to 86 GHz give 2.6 million numbers. This requires </w:t>
      </w:r>
      <w:r w:rsidRPr="00671C47">
        <w:rPr>
          <w:bCs/>
          <w:lang w:val="en-US"/>
        </w:rPr>
        <w:t>22 bits</w:t>
      </w:r>
      <w:r>
        <w:rPr>
          <w:lang w:val="en-US"/>
        </w:rPr>
        <w:t>.</w:t>
      </w:r>
      <w:r w:rsidR="00671C47">
        <w:rPr>
          <w:lang w:val="en-US"/>
        </w:rPr>
        <w:t xml:space="preserve"> The LTE values are shown below and the number of bits is 18.</w:t>
      </w:r>
    </w:p>
    <w:p w14:paraId="3C3015CA" w14:textId="77777777" w:rsidR="00671C47" w:rsidRDefault="00671C47" w:rsidP="00671C47">
      <w:pPr>
        <w:pStyle w:val="PL"/>
        <w:shd w:val="clear" w:color="auto" w:fill="E6E6E6"/>
        <w:rPr>
          <w:rFonts w:cs="Courier New"/>
          <w:szCs w:val="16"/>
        </w:rPr>
      </w:pPr>
      <w:r>
        <w:t xml:space="preserve">maxEARFCN                 INTEGER ::= </w:t>
      </w:r>
      <w:r>
        <w:rPr>
          <w:lang w:eastAsia="zh-CN"/>
        </w:rPr>
        <w:t>65535</w:t>
      </w:r>
      <w:r>
        <w:t>   -- Maximum value of EUTRA carrier frequency</w:t>
      </w:r>
    </w:p>
    <w:p w14:paraId="1BC0CA7D" w14:textId="77777777" w:rsidR="00671C47" w:rsidRDefault="00671C47" w:rsidP="00671C47">
      <w:pPr>
        <w:pStyle w:val="PL"/>
        <w:shd w:val="clear" w:color="auto" w:fill="E6E6E6"/>
        <w:rPr>
          <w:sz w:val="20"/>
        </w:rPr>
      </w:pPr>
      <w:r>
        <w:t>maxEARFCN-Plus1            INTEGER ::= 65536   -- Lowest value extended EARFCN range</w:t>
      </w:r>
    </w:p>
    <w:p w14:paraId="4E24EAA9" w14:textId="77777777" w:rsidR="00671C47" w:rsidRDefault="00671C47" w:rsidP="00671C47">
      <w:pPr>
        <w:pStyle w:val="PL"/>
        <w:shd w:val="clear" w:color="auto" w:fill="E6E6E6"/>
      </w:pPr>
      <w:r>
        <w:t xml:space="preserve">maxEARFCN2                INTEGER ::= </w:t>
      </w:r>
      <w:r>
        <w:rPr>
          <w:highlight w:val="yellow"/>
        </w:rPr>
        <w:t>262143</w:t>
      </w:r>
      <w:r>
        <w:t>  -- Highest value extended EARFCN range</w:t>
      </w:r>
    </w:p>
    <w:p w14:paraId="794B39A5" w14:textId="111ADEB4" w:rsidR="00671C47" w:rsidRDefault="00671C47" w:rsidP="00671C47">
      <w:pPr>
        <w:rPr>
          <w:lang w:val="en-US"/>
        </w:rPr>
      </w:pPr>
    </w:p>
    <w:p w14:paraId="3FF6F04F" w14:textId="0DC7E267" w:rsidR="00F261C8" w:rsidRDefault="00671C47" w:rsidP="007372E2">
      <w:pPr>
        <w:rPr>
          <w:lang w:val="en-US"/>
        </w:rPr>
      </w:pPr>
      <w:r>
        <w:rPr>
          <w:lang w:val="en-US"/>
        </w:rPr>
        <w:t xml:space="preserve">In LTE, the 18 bits is enough to point the UE where to find PSS/SSS/CRS, in NR approx. 22 bits and the offset indication to SSB frequency location is needed. Thus, there is incentive to look at the other option, where measurement object would directly indicate SSB frequency location. </w:t>
      </w:r>
      <w:r w:rsidR="007372E2" w:rsidRPr="007372E2">
        <w:rPr>
          <w:lang w:val="en-US"/>
        </w:rPr>
        <w:t>The DL physical layer design enables the SS and PBCH to be placed anywhere on the carrier</w:t>
      </w:r>
      <w:r w:rsidR="007372E2">
        <w:rPr>
          <w:lang w:val="en-US"/>
        </w:rPr>
        <w:t xml:space="preserve">. Figure 1 tries depicts </w:t>
      </w:r>
      <w:r w:rsidR="0083430F">
        <w:rPr>
          <w:lang w:val="en-US"/>
        </w:rPr>
        <w:t>the relation between the bandwidth of SSB (BW_PBCH) and the bandwidth of the whole BS carrier</w:t>
      </w:r>
      <w:r w:rsidR="00F261C8">
        <w:rPr>
          <w:lang w:val="en-US"/>
        </w:rPr>
        <w:t xml:space="preserve">(BW_Config) which is called </w:t>
      </w:r>
      <w:r w:rsidR="00F261C8" w:rsidRPr="007372E2">
        <w:rPr>
          <w:lang w:val="en-US"/>
        </w:rPr>
        <w:t>carrier resource blocks</w:t>
      </w:r>
      <w:r w:rsidR="00F261C8">
        <w:rPr>
          <w:lang w:val="en-US"/>
        </w:rPr>
        <w:t xml:space="preserve"> in 38.211. RAN1 has agreed that</w:t>
      </w:r>
      <w:r w:rsidR="0083430F">
        <w:rPr>
          <w:lang w:val="en-US"/>
        </w:rPr>
        <w:t xml:space="preserve"> </w:t>
      </w:r>
      <w:r w:rsidR="00F261C8">
        <w:rPr>
          <w:lang w:val="en-US"/>
        </w:rPr>
        <w:t xml:space="preserve">PBCH bandwidth is 20 PRB. It has previously been agreed in RAN1 </w:t>
      </w:r>
      <w:r w:rsidR="00F261C8">
        <w:rPr>
          <w:lang w:val="en-US"/>
        </w:rPr>
        <w:lastRenderedPageBreak/>
        <w:t xml:space="preserve">that </w:t>
      </w:r>
      <w:r w:rsidR="00F261C8" w:rsidRPr="00D74281">
        <w:rPr>
          <w:lang w:val="en-US"/>
        </w:rPr>
        <w:t>SS/PBCH block can be offset from the resource block grid</w:t>
      </w:r>
      <w:r w:rsidR="00F261C8">
        <w:rPr>
          <w:lang w:val="en-US"/>
        </w:rPr>
        <w:t xml:space="preserve"> and be anywhere on the subcarrier grid, which makes it possible to place a carrier anywhere on a subcarrier based channel raster, while at the same time have a sparse sync raster. </w:t>
      </w:r>
    </w:p>
    <w:p w14:paraId="174EAD14" w14:textId="77777777" w:rsidR="007372E2" w:rsidRDefault="001F0CDB" w:rsidP="00F261C8">
      <w:pPr>
        <w:keepNext/>
        <w:jc w:val="center"/>
      </w:pPr>
      <w:r w:rsidRPr="001F0CDB">
        <w:rPr>
          <w:noProof/>
          <w:lang w:val="fi-FI" w:eastAsia="fi-FI"/>
        </w:rPr>
        <w:drawing>
          <wp:inline distT="0" distB="0" distL="0" distR="0" wp14:anchorId="6DF5AE37" wp14:editId="2E0BF154">
            <wp:extent cx="3832813" cy="2702303"/>
            <wp:effectExtent l="0" t="0" r="0" b="0"/>
            <wp:docPr id="2049" name="Picture 1">
              <a:extLst xmlns:a="http://schemas.openxmlformats.org/drawingml/2006/main">
                <a:ext uri="{FF2B5EF4-FFF2-40B4-BE49-F238E27FC236}">
                  <a16:creationId xmlns:a16="http://schemas.microsoft.com/office/drawing/2014/main" id="{499D5DF9-AA41-48A9-8886-D4600FBF86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a:extLst>
                        <a:ext uri="{FF2B5EF4-FFF2-40B4-BE49-F238E27FC236}">
                          <a16:creationId xmlns:a16="http://schemas.microsoft.com/office/drawing/2014/main" id="{499D5DF9-AA41-48A9-8886-D4600FBF864F}"/>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9916" cy="2714361"/>
                    </a:xfrm>
                    <a:prstGeom prst="rect">
                      <a:avLst/>
                    </a:prstGeom>
                    <a:noFill/>
                    <a:extLst/>
                  </pic:spPr>
                </pic:pic>
              </a:graphicData>
            </a:graphic>
          </wp:inline>
        </w:drawing>
      </w:r>
    </w:p>
    <w:p w14:paraId="77BF3D8D" w14:textId="6EFFAE89" w:rsidR="001F0CDB" w:rsidRDefault="007372E2" w:rsidP="007372E2">
      <w:pPr>
        <w:pStyle w:val="Caption"/>
        <w:jc w:val="both"/>
        <w:rPr>
          <w:lang w:val="en-US"/>
        </w:rPr>
      </w:pPr>
      <w:r>
        <w:t xml:space="preserve">Figure </w:t>
      </w:r>
      <w:r>
        <w:fldChar w:fldCharType="begin"/>
      </w:r>
      <w:r>
        <w:instrText xml:space="preserve"> SEQ Kuva \* ARABIC </w:instrText>
      </w:r>
      <w:r>
        <w:fldChar w:fldCharType="separate"/>
      </w:r>
      <w:r>
        <w:rPr>
          <w:noProof/>
        </w:rPr>
        <w:t>1</w:t>
      </w:r>
      <w:r>
        <w:fldChar w:fldCharType="end"/>
      </w:r>
      <w:r>
        <w:t xml:space="preserve"> SSB on the whole BS carrier</w:t>
      </w:r>
    </w:p>
    <w:p w14:paraId="1A6930EA" w14:textId="6175ACA2" w:rsidR="001F0CDB" w:rsidRDefault="00F261C8" w:rsidP="00671C47">
      <w:pPr>
        <w:rPr>
          <w:lang w:val="en-US"/>
        </w:rPr>
      </w:pPr>
      <w:r>
        <w:rPr>
          <w:lang w:val="en-US"/>
        </w:rPr>
        <w:t xml:space="preserve">In </w:t>
      </w:r>
      <w:r>
        <w:rPr>
          <w:lang w:val="en-US"/>
        </w:rPr>
        <w:fldChar w:fldCharType="begin"/>
      </w:r>
      <w:r>
        <w:rPr>
          <w:lang w:val="en-US"/>
        </w:rPr>
        <w:instrText xml:space="preserve"> REF _Ref498640086 \r \h </w:instrText>
      </w:r>
      <w:r>
        <w:rPr>
          <w:lang w:val="en-US"/>
        </w:rPr>
      </w:r>
      <w:r>
        <w:rPr>
          <w:lang w:val="en-US"/>
        </w:rPr>
        <w:fldChar w:fldCharType="separate"/>
      </w:r>
      <w:r>
        <w:rPr>
          <w:lang w:val="en-US"/>
        </w:rPr>
        <w:t>[6]</w:t>
      </w:r>
      <w:r>
        <w:rPr>
          <w:lang w:val="en-US"/>
        </w:rPr>
        <w:fldChar w:fldCharType="end"/>
      </w:r>
      <w:r w:rsidR="009D6BCC">
        <w:rPr>
          <w:lang w:val="en-US"/>
        </w:rPr>
        <w:t>,</w:t>
      </w:r>
      <w:r>
        <w:rPr>
          <w:lang w:val="en-US"/>
        </w:rPr>
        <w:t xml:space="preserve"> further details are explained but here we just refer that an estimated number of bits to describe an SSB position on a sync raster is around 13 bits. This is considerably less than 22 bits + offset indication for SSB and from this perspective looks like better option to define a measurement object than the NR-ARFCN</w:t>
      </w:r>
      <w:r w:rsidR="00E41268">
        <w:rPr>
          <w:lang w:val="en-US"/>
        </w:rPr>
        <w:t>(“GARFCN”)</w:t>
      </w:r>
      <w:r>
        <w:rPr>
          <w:lang w:val="en-US"/>
        </w:rPr>
        <w:t xml:space="preserve">. </w:t>
      </w:r>
    </w:p>
    <w:p w14:paraId="4103AEE4" w14:textId="77777777" w:rsidR="004719D6" w:rsidRDefault="004719D6" w:rsidP="004719D6"/>
    <w:p w14:paraId="00B5CCC0" w14:textId="20EDE1C0" w:rsidR="004719D6" w:rsidRDefault="004719D6" w:rsidP="004719D6">
      <w:pPr>
        <w:pStyle w:val="Observation"/>
        <w:rPr>
          <w:lang w:val="en-US"/>
        </w:rPr>
      </w:pPr>
      <w:bookmarkStart w:id="2" w:name="_Toc498657324"/>
      <w:r>
        <w:rPr>
          <w:lang w:val="en-US"/>
        </w:rPr>
        <w:t>If the SSB location is given directly in the MO, the amount of bits needed is considerably less than with the current agreement on GARFCN and offset to SSB.</w:t>
      </w:r>
      <w:bookmarkEnd w:id="2"/>
    </w:p>
    <w:p w14:paraId="45593CD7" w14:textId="1B8F7F37" w:rsidR="004719D6" w:rsidRDefault="004719D6" w:rsidP="00822006">
      <w:pPr>
        <w:pStyle w:val="Observation"/>
      </w:pPr>
      <w:bookmarkStart w:id="3" w:name="_Toc498657325"/>
      <w:r w:rsidRPr="004719D6">
        <w:rPr>
          <w:lang w:val="en-US"/>
        </w:rPr>
        <w:t>With this approach MO becomes agnostic to NR channel/carrier.</w:t>
      </w:r>
      <w:bookmarkEnd w:id="3"/>
    </w:p>
    <w:p w14:paraId="7A6CBF28" w14:textId="77777777" w:rsidR="004719D6" w:rsidRDefault="004719D6" w:rsidP="00671C47">
      <w:pPr>
        <w:rPr>
          <w:lang w:val="en-US"/>
        </w:rPr>
      </w:pPr>
    </w:p>
    <w:p w14:paraId="28897C6A" w14:textId="77777777" w:rsidR="00C75B89" w:rsidRPr="0089611D" w:rsidRDefault="00C920F9" w:rsidP="00C75B89">
      <w:r>
        <w:rPr>
          <w:lang w:val="en-US"/>
        </w:rPr>
        <w:t>RA</w:t>
      </w:r>
      <w:r w:rsidR="00DC3D67">
        <w:rPr>
          <w:lang w:val="en-US"/>
        </w:rPr>
        <w:t xml:space="preserve">N1 had introduced the case where the whole BS carrier may have more than one SSB. As there is </w:t>
      </w:r>
      <w:r w:rsidR="00926616">
        <w:rPr>
          <w:lang w:val="en-US"/>
        </w:rPr>
        <w:t>also always only one cell defining SSB from UE perspective, the other SSBs on that BS carrier are not cell defining SSBs. However, according to RAN2 agreement the other SSB can be the cell defining SSB from another UE perspective. As we can see, there might be a contradiction between RAN1 and RAN2 definition of this cell defining SSB that whether it is defined from UE or network perspective. From RAN2 perspective, synchronous reconfiguration is needed to change the cell defining SSB for a UE</w:t>
      </w:r>
      <w:r w:rsidR="003B1175">
        <w:rPr>
          <w:lang w:val="en-US"/>
        </w:rPr>
        <w:t>. This implies that MO can be given within the same BS carrier but for another SSB.</w:t>
      </w:r>
      <w:r w:rsidR="00144FC4">
        <w:rPr>
          <w:lang w:val="en-US"/>
        </w:rPr>
        <w:t xml:space="preserve"> This would be different from LTE, where only one MO can be given for a carrier.</w:t>
      </w:r>
      <w:r w:rsidR="00C75B89">
        <w:rPr>
          <w:lang w:val="en-US"/>
        </w:rPr>
        <w:t xml:space="preserve"> </w:t>
      </w:r>
      <w:r w:rsidR="00C75B89">
        <w:t xml:space="preserve">Therefore, in order to enable the synchronous reconfiguration to change the cell defining SSB based on measurement reports, we are proposing that unlike in LTE, in NR network may configure multiple MOs for the same carrier if the SSB frequency location is different. </w:t>
      </w:r>
    </w:p>
    <w:p w14:paraId="3D76C8B9" w14:textId="77777777" w:rsidR="00C75B89" w:rsidRDefault="00C75B89" w:rsidP="00C75B89">
      <w:pPr>
        <w:pStyle w:val="Proposal"/>
        <w:rPr>
          <w:lang w:val="en-US"/>
        </w:rPr>
      </w:pPr>
      <w:bookmarkStart w:id="4" w:name="_Toc498651140"/>
      <w:bookmarkStart w:id="5" w:name="_Toc498657150"/>
      <w:bookmarkStart w:id="6" w:name="_Toc498657327"/>
      <w:r>
        <w:rPr>
          <w:rFonts w:cs="Arial"/>
        </w:rPr>
        <w:t>Network may configure UE with multiple MOs for the same carrier if the SSB frequency location is different</w:t>
      </w:r>
      <w:r>
        <w:rPr>
          <w:lang w:val="en-US"/>
        </w:rPr>
        <w:t>.</w:t>
      </w:r>
      <w:bookmarkEnd w:id="4"/>
      <w:bookmarkEnd w:id="5"/>
      <w:bookmarkEnd w:id="6"/>
    </w:p>
    <w:p w14:paraId="0984B078" w14:textId="02620B10" w:rsidR="00DC3D67" w:rsidRDefault="00DC3D67" w:rsidP="00671C47">
      <w:pPr>
        <w:rPr>
          <w:lang w:val="en-US"/>
        </w:rPr>
      </w:pPr>
    </w:p>
    <w:p w14:paraId="2ACEE6BE" w14:textId="01A1021C" w:rsidR="00C36101" w:rsidRDefault="00C75B89" w:rsidP="00DC3D67">
      <w:r>
        <w:t>Consequence of this is that actua</w:t>
      </w:r>
      <w:r w:rsidR="00C36101">
        <w:t>lly UE can be configured with more than one</w:t>
      </w:r>
      <w:r>
        <w:t xml:space="preserve"> MOs f</w:t>
      </w:r>
      <w:r w:rsidR="00412BC6">
        <w:t>or its own serving cell freq</w:t>
      </w:r>
      <w:r>
        <w:t xml:space="preserve">uency. </w:t>
      </w:r>
      <w:r w:rsidR="00C36101">
        <w:t>The LTE rule that UE should always be configured with a MO on its serving cell frequency, would translate here that UE is always configured with a MO for the cell defining SSB for the serving cell.</w:t>
      </w:r>
    </w:p>
    <w:p w14:paraId="7E608A3F" w14:textId="77777777" w:rsidR="00FF3DD3" w:rsidRPr="0089611D" w:rsidRDefault="00FF3DD3" w:rsidP="00FF3DD3"/>
    <w:p w14:paraId="58A47C16" w14:textId="4E020EEB" w:rsidR="00FF3DD3" w:rsidRDefault="00FF3DD3" w:rsidP="00FF3DD3">
      <w:pPr>
        <w:pStyle w:val="Proposal"/>
        <w:rPr>
          <w:lang w:val="en-US"/>
        </w:rPr>
      </w:pPr>
      <w:bookmarkStart w:id="7" w:name="_Toc498651141"/>
      <w:bookmarkStart w:id="8" w:name="_Toc498657151"/>
      <w:bookmarkStart w:id="9" w:name="_Toc498657328"/>
      <w:r>
        <w:rPr>
          <w:rFonts w:cs="Arial"/>
        </w:rPr>
        <w:t>In NR</w:t>
      </w:r>
      <w:r w:rsidR="0036433B">
        <w:rPr>
          <w:rFonts w:cs="Arial"/>
        </w:rPr>
        <w:t>,</w:t>
      </w:r>
      <w:r>
        <w:rPr>
          <w:rFonts w:cs="Arial"/>
        </w:rPr>
        <w:t xml:space="preserve"> </w:t>
      </w:r>
      <w:r>
        <w:t>UE is always configured with a MO for the cell defining SSB for the serving cell</w:t>
      </w:r>
      <w:r>
        <w:rPr>
          <w:lang w:val="en-US"/>
        </w:rPr>
        <w:t xml:space="preserve">, </w:t>
      </w:r>
      <w:r w:rsidRPr="00FF3DD3">
        <w:rPr>
          <w:i/>
          <w:lang w:val="en-US"/>
        </w:rPr>
        <w:t>if the serving cell has SSB</w:t>
      </w:r>
      <w:r>
        <w:rPr>
          <w:lang w:val="en-US"/>
        </w:rPr>
        <w:t>.</w:t>
      </w:r>
      <w:bookmarkEnd w:id="7"/>
      <w:bookmarkEnd w:id="8"/>
      <w:bookmarkEnd w:id="9"/>
    </w:p>
    <w:p w14:paraId="393932BB" w14:textId="77777777" w:rsidR="00FF3DD3" w:rsidRDefault="00FF3DD3" w:rsidP="00FF3DD3">
      <w:pPr>
        <w:rPr>
          <w:lang w:val="en-US"/>
        </w:rPr>
      </w:pPr>
    </w:p>
    <w:p w14:paraId="5E43396F" w14:textId="58AF5D9F" w:rsidR="00D132C9" w:rsidRDefault="00BF1CA9" w:rsidP="00D132C9">
      <w:r>
        <w:rPr>
          <w:lang w:val="en-US"/>
        </w:rPr>
        <w:t>In NR, there seems to be a concept of carrier/SCell/subband withouth SSB.</w:t>
      </w:r>
      <w:bookmarkStart w:id="10" w:name="_Toc485388589"/>
      <w:bookmarkStart w:id="11" w:name="_Hlk485381978"/>
      <w:r>
        <w:rPr>
          <w:lang w:val="en-US"/>
        </w:rPr>
        <w:t xml:space="preserve"> </w:t>
      </w:r>
      <w:r w:rsidR="0078020D">
        <w:t>RAN2 a</w:t>
      </w:r>
      <w:r w:rsidR="008D5F09">
        <w:t>greement number 2 refers to a carrier which does not have an SSB.</w:t>
      </w:r>
      <w:r w:rsidR="000E0FD3">
        <w:t xml:space="preserve"> A related parameter can be found </w:t>
      </w:r>
      <w:r w:rsidR="000E0FD3" w:rsidRPr="00EB4892">
        <w:t xml:space="preserve">in </w:t>
      </w:r>
      <w:r w:rsidR="00EB4892" w:rsidRPr="00EB4892">
        <w:t xml:space="preserve">the </w:t>
      </w:r>
      <w:r w:rsidR="000E0FD3" w:rsidRPr="00EB4892">
        <w:t>RAN</w:t>
      </w:r>
      <w:r w:rsidR="00EB4892">
        <w:t>1</w:t>
      </w:r>
      <w:r w:rsidR="000E0FD3" w:rsidRPr="00EB4892">
        <w:t xml:space="preserve"> </w:t>
      </w:r>
      <w:r w:rsidR="00EB4892" w:rsidRPr="00EB4892">
        <w:t>RRC parameters</w:t>
      </w:r>
      <w:r w:rsidR="000E0FD3">
        <w:t xml:space="preserve"> </w:t>
      </w:r>
      <w:r w:rsidR="00EB4892">
        <w:fldChar w:fldCharType="begin"/>
      </w:r>
      <w:r w:rsidR="00EB4892">
        <w:instrText xml:space="preserve"> REF _Ref494417431 \r \h </w:instrText>
      </w:r>
      <w:r w:rsidR="00EB4892">
        <w:fldChar w:fldCharType="separate"/>
      </w:r>
      <w:r w:rsidR="00EB4892">
        <w:t>[4]</w:t>
      </w:r>
      <w:r w:rsidR="00EB4892">
        <w:fldChar w:fldCharType="end"/>
      </w:r>
    </w:p>
    <w:tbl>
      <w:tblPr>
        <w:tblW w:w="10632" w:type="dxa"/>
        <w:tblInd w:w="-5" w:type="dxa"/>
        <w:tblCellMar>
          <w:top w:w="15" w:type="dxa"/>
          <w:left w:w="70" w:type="dxa"/>
          <w:bottom w:w="15" w:type="dxa"/>
          <w:right w:w="70" w:type="dxa"/>
        </w:tblCellMar>
        <w:tblLook w:val="04A0" w:firstRow="1" w:lastRow="0" w:firstColumn="1" w:lastColumn="0" w:noHBand="0" w:noVBand="1"/>
      </w:tblPr>
      <w:tblGrid>
        <w:gridCol w:w="1701"/>
        <w:gridCol w:w="1418"/>
        <w:gridCol w:w="1134"/>
        <w:gridCol w:w="1701"/>
        <w:gridCol w:w="4678"/>
      </w:tblGrid>
      <w:tr w:rsidR="00950017" w:rsidRPr="000D05E3" w14:paraId="754855BD" w14:textId="77777777" w:rsidTr="00950017">
        <w:trPr>
          <w:trHeight w:val="225"/>
        </w:trPr>
        <w:tc>
          <w:tcPr>
            <w:tcW w:w="1701" w:type="dxa"/>
            <w:tcBorders>
              <w:top w:val="single" w:sz="4" w:space="0" w:color="auto"/>
              <w:left w:val="single" w:sz="4" w:space="0" w:color="auto"/>
              <w:bottom w:val="single" w:sz="4" w:space="0" w:color="auto"/>
              <w:right w:val="single" w:sz="4" w:space="0" w:color="auto"/>
            </w:tcBorders>
            <w:noWrap/>
            <w:vAlign w:val="center"/>
            <w:hideMark/>
          </w:tcPr>
          <w:p w14:paraId="38E0BC81"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lastRenderedPageBreak/>
              <w:t>Mobility related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C0BC384"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t>SSB-presence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898A3"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t>New</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E47E74"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t>SSB-presence</w:t>
            </w:r>
          </w:p>
        </w:tc>
        <w:tc>
          <w:tcPr>
            <w:tcW w:w="4678" w:type="dxa"/>
            <w:tcBorders>
              <w:top w:val="single" w:sz="4" w:space="0" w:color="auto"/>
              <w:left w:val="single" w:sz="4" w:space="0" w:color="auto"/>
              <w:bottom w:val="single" w:sz="4" w:space="0" w:color="auto"/>
              <w:right w:val="single" w:sz="4" w:space="0" w:color="auto"/>
            </w:tcBorders>
            <w:noWrap/>
            <w:vAlign w:val="center"/>
            <w:hideMark/>
          </w:tcPr>
          <w:p w14:paraId="2FD40ECB" w14:textId="77777777" w:rsidR="00950017" w:rsidRPr="000D05E3" w:rsidRDefault="00950017" w:rsidP="00950017">
            <w:pPr>
              <w:overflowPunct/>
              <w:autoSpaceDE/>
              <w:autoSpaceDN/>
              <w:adjustRightInd/>
              <w:spacing w:after="0"/>
              <w:ind w:right="-71"/>
              <w:jc w:val="left"/>
              <w:textAlignment w:val="auto"/>
              <w:rPr>
                <w:rFonts w:cs="Arial"/>
                <w:sz w:val="16"/>
                <w:szCs w:val="16"/>
                <w:lang w:val="en-US" w:eastAsia="fi-FI"/>
              </w:rPr>
            </w:pPr>
            <w:r w:rsidRPr="000D05E3">
              <w:rPr>
                <w:rFonts w:cs="Arial"/>
                <w:sz w:val="16"/>
                <w:szCs w:val="16"/>
                <w:lang w:val="en-US" w:eastAsia="fi-FI"/>
              </w:rPr>
              <w:t>Indicate presence of SSBlock on an Scell</w:t>
            </w:r>
          </w:p>
        </w:tc>
      </w:tr>
    </w:tbl>
    <w:p w14:paraId="0B3B66F9" w14:textId="35FB0D8D" w:rsidR="002F047E" w:rsidRPr="000D05E3" w:rsidRDefault="002F047E" w:rsidP="00D132C9">
      <w:pPr>
        <w:rPr>
          <w:lang w:val="en-US"/>
        </w:rPr>
      </w:pPr>
    </w:p>
    <w:p w14:paraId="5785CC10" w14:textId="77777777" w:rsidR="002F047E" w:rsidRDefault="002F047E" w:rsidP="002F047E">
      <w:r>
        <w:t xml:space="preserve">Additionally, in RAN1#AH_NR2 the following agreements were made regarding </w:t>
      </w:r>
      <w:r w:rsidRPr="00597EAA">
        <w:t>CSI-RS properties for RRM measurement for L3 mobility</w:t>
      </w:r>
      <w:r>
        <w:t>:</w:t>
      </w:r>
    </w:p>
    <w:p w14:paraId="42F2792C" w14:textId="77777777" w:rsidR="002F047E" w:rsidRPr="00757F6F" w:rsidRDefault="002F047E" w:rsidP="002F047E">
      <w:pPr>
        <w:rPr>
          <w:rFonts w:ascii="Times New Roman" w:eastAsiaTheme="minorHAnsi" w:hAnsi="Times New Roman"/>
          <w:b/>
          <w:bCs/>
          <w:u w:val="single"/>
          <w:lang w:eastAsia="ja-JP"/>
        </w:rPr>
      </w:pPr>
      <w:r w:rsidRPr="00757F6F">
        <w:rPr>
          <w:rFonts w:ascii="Times New Roman" w:hAnsi="Times New Roman"/>
          <w:b/>
          <w:bCs/>
          <w:highlight w:val="green"/>
          <w:u w:val="single"/>
          <w:lang w:eastAsia="ja-JP"/>
        </w:rPr>
        <w:t>Agreements:</w:t>
      </w:r>
    </w:p>
    <w:p w14:paraId="6B1F7462" w14:textId="77777777" w:rsidR="002F047E" w:rsidRPr="00757F6F" w:rsidRDefault="002F047E" w:rsidP="002F047E">
      <w:pPr>
        <w:numPr>
          <w:ilvl w:val="0"/>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Following CSI-RS properties for RRM measurement for L3 mobility are supported in NR</w:t>
      </w:r>
    </w:p>
    <w:p w14:paraId="30C0C6EB" w14:textId="77777777" w:rsidR="002F047E" w:rsidRPr="00757F6F" w:rsidRDefault="002F047E" w:rsidP="002F047E">
      <w:pPr>
        <w:numPr>
          <w:ilvl w:val="1"/>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Configurable periodicity (as already agreed)</w:t>
      </w:r>
    </w:p>
    <w:p w14:paraId="6E9BEDD3"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{5, 10, 20, 40, [80, 160]} ms are supported</w:t>
      </w:r>
    </w:p>
    <w:p w14:paraId="6EFFAA4A"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This does not mean periodicity will be configured per CSI-RS resource</w:t>
      </w:r>
    </w:p>
    <w:p w14:paraId="6134D5C9" w14:textId="77777777" w:rsidR="002F047E" w:rsidRPr="00757F6F" w:rsidRDefault="002F047E" w:rsidP="002F047E">
      <w:pPr>
        <w:numPr>
          <w:ilvl w:val="1"/>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Configurable transmission bandwidth (as already agreed)</w:t>
      </w:r>
    </w:p>
    <w:p w14:paraId="42FA786E"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FFS candidate values</w:t>
      </w:r>
    </w:p>
    <w:p w14:paraId="1DEAE9D5" w14:textId="77777777" w:rsidR="002F047E" w:rsidRPr="00757F6F" w:rsidRDefault="002F047E" w:rsidP="002F047E">
      <w:pPr>
        <w:numPr>
          <w:ilvl w:val="1"/>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Configurable measurement bandwidth (as already agreed) and frequency location</w:t>
      </w:r>
    </w:p>
    <w:p w14:paraId="581949FF"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At least minimum carrier bandwidth for each frequency band/range and at least one additional wider bandwidth for each SCS (e.g., maximum UE bandwidth) are supported</w:t>
      </w:r>
    </w:p>
    <w:p w14:paraId="5D38AFA0" w14:textId="77777777" w:rsidR="002F047E" w:rsidRPr="00757F6F" w:rsidRDefault="002F047E" w:rsidP="002F047E">
      <w:pPr>
        <w:numPr>
          <w:ilvl w:val="3"/>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FFS other candidate values for wider bandwidth for each SCS</w:t>
      </w:r>
    </w:p>
    <w:p w14:paraId="62B66DDB"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Measurement of CSI-RS in subband/bandwidth part which may or may not contain SS Blocks is supported</w:t>
      </w:r>
    </w:p>
    <w:p w14:paraId="7B43988A" w14:textId="4A6B3301" w:rsidR="002F047E" w:rsidRDefault="002F047E" w:rsidP="00D132C9"/>
    <w:p w14:paraId="0D907DFD" w14:textId="474778AE" w:rsidR="00EA3F20" w:rsidRDefault="00EA3F20" w:rsidP="00D132C9">
      <w:r>
        <w:t>In RAN2, we have the following FFS related to measurements based on CSI-RS for a BWP:</w:t>
      </w:r>
    </w:p>
    <w:bookmarkEnd w:id="10"/>
    <w:p w14:paraId="75EC0112" w14:textId="77777777" w:rsidR="009D7877" w:rsidRDefault="009D7877" w:rsidP="009D7877">
      <w:pPr>
        <w:pStyle w:val="Doc-text2"/>
        <w:pBdr>
          <w:top w:val="single" w:sz="4" w:space="1" w:color="auto"/>
          <w:left w:val="single" w:sz="4" w:space="4" w:color="auto"/>
          <w:bottom w:val="single" w:sz="4" w:space="1" w:color="auto"/>
          <w:right w:val="single" w:sz="4" w:space="4" w:color="auto"/>
        </w:pBdr>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04EE6E22" w14:textId="7743444E" w:rsidR="009D7877" w:rsidRDefault="009D7877" w:rsidP="00337160"/>
    <w:p w14:paraId="3F819CD2" w14:textId="57A75732" w:rsidR="00BF1CA9" w:rsidRDefault="00BF1CA9" w:rsidP="00337160">
      <w:r>
        <w:t>If the SCell, that is potential servin cell does not have SSB, and MO does not have reference to GARFCN, then RAN2 should discuss to what should the MO point to.</w:t>
      </w:r>
      <w:r w:rsidR="002D1E43">
        <w:t xml:space="preserve"> In this case the UE would measure based on CSI-RS and the MO should be given the frequency location for the CSI-RS. </w:t>
      </w:r>
      <w:r w:rsidR="0036433B">
        <w:t>Options are that in this case the MO has reference to GARFCN and then frequency offset to the CSI-RS is given, or MO gives nominal location of an SSB and given frequency offset to CSI-RS, or an absolute frequency position for CSI-RS can be given.</w:t>
      </w:r>
      <w:r w:rsidR="002D1E43">
        <w:t xml:space="preserve"> </w:t>
      </w:r>
    </w:p>
    <w:p w14:paraId="0784A212" w14:textId="77777777" w:rsidR="005B5AFE" w:rsidRPr="0089611D" w:rsidRDefault="005B5AFE" w:rsidP="005B5AFE"/>
    <w:p w14:paraId="064A2F03" w14:textId="1C04DB5A" w:rsidR="005B5AFE" w:rsidRDefault="005B5AFE" w:rsidP="005B5AFE">
      <w:pPr>
        <w:pStyle w:val="Proposal"/>
        <w:rPr>
          <w:lang w:val="en-US"/>
        </w:rPr>
      </w:pPr>
      <w:bookmarkStart w:id="12" w:name="_Toc498651142"/>
      <w:bookmarkStart w:id="13" w:name="_Toc498657152"/>
      <w:bookmarkStart w:id="14" w:name="_Toc498657329"/>
      <w:r>
        <w:rPr>
          <w:rFonts w:cs="Arial"/>
        </w:rPr>
        <w:t xml:space="preserve">A MO pointing to a “carrier” without SSB, </w:t>
      </w:r>
      <w:r w:rsidR="00A76692">
        <w:rPr>
          <w:rFonts w:cs="Arial"/>
        </w:rPr>
        <w:t xml:space="preserve">discuss if </w:t>
      </w:r>
      <w:r>
        <w:rPr>
          <w:rFonts w:cs="Arial"/>
        </w:rPr>
        <w:t>a nominal location of the SSB is given and then an frequency offset to the CSI-RS resource</w:t>
      </w:r>
      <w:r>
        <w:rPr>
          <w:lang w:val="en-US"/>
        </w:rPr>
        <w:t>.</w:t>
      </w:r>
      <w:bookmarkEnd w:id="12"/>
      <w:bookmarkEnd w:id="13"/>
      <w:bookmarkEnd w:id="14"/>
    </w:p>
    <w:p w14:paraId="518986A9" w14:textId="77777777" w:rsidR="00A76692" w:rsidRDefault="00A76692" w:rsidP="005B5AFE"/>
    <w:p w14:paraId="0A82DB5E" w14:textId="130020B9" w:rsidR="00A76692" w:rsidRDefault="00A76692" w:rsidP="005B5AFE">
      <w:r>
        <w:t>If a nominal location of SSB can be given for carrier without SSB as the reference point, then it is feasible to define MO as SSB frequency location.</w:t>
      </w:r>
    </w:p>
    <w:p w14:paraId="6E334C71" w14:textId="77777777" w:rsidR="003A5877" w:rsidRDefault="003A5877" w:rsidP="003A5877"/>
    <w:p w14:paraId="41086F88" w14:textId="5F173516" w:rsidR="003A5877" w:rsidRDefault="003A5877" w:rsidP="003A5877">
      <w:pPr>
        <w:pStyle w:val="Observation"/>
      </w:pPr>
      <w:bookmarkStart w:id="15" w:name="_Toc498657326"/>
      <w:r>
        <w:t>If a nominal location of SSB can be given for carrier without SSB as the reference point, then it is feasible to define MO as SSB frequency location.</w:t>
      </w:r>
      <w:bookmarkEnd w:id="15"/>
    </w:p>
    <w:p w14:paraId="79B6E6EA" w14:textId="1F400667" w:rsidR="00A76692" w:rsidRDefault="00A76692" w:rsidP="005B5AFE"/>
    <w:p w14:paraId="76425610" w14:textId="5E703BCC" w:rsidR="003A5877" w:rsidRDefault="003A5877" w:rsidP="003A5877">
      <w:pPr>
        <w:pStyle w:val="Heading2"/>
      </w:pPr>
      <w:r>
        <w:t>Timing information and sync reference for a CSI-RS</w:t>
      </w:r>
    </w:p>
    <w:p w14:paraId="3E4A41D4" w14:textId="11E0D779" w:rsidR="005B5AFE" w:rsidRDefault="005B5AFE" w:rsidP="005B5AFE">
      <w:r>
        <w:t>Another point is how the timing information</w:t>
      </w:r>
      <w:r w:rsidR="00656A2E">
        <w:t xml:space="preserve"> for the CSI-RS is given</w:t>
      </w:r>
      <w:r w:rsidR="002A0674">
        <w:t>. The CSI-RS parameters include periodicity and offset but it is not clear</w:t>
      </w:r>
      <w:r w:rsidR="00110B46">
        <w:t xml:space="preserve"> what is the reference point to the slotConfigOffset.</w:t>
      </w:r>
    </w:p>
    <w:p w14:paraId="79896F5F" w14:textId="2D136B0A" w:rsidR="002A0674" w:rsidRDefault="002A0674" w:rsidP="005B5AFE">
      <w:r w:rsidRPr="002A0674">
        <w:rPr>
          <w:noProof/>
          <w:lang w:val="fi-FI" w:eastAsia="fi-FI"/>
        </w:rPr>
        <w:drawing>
          <wp:inline distT="0" distB="0" distL="0" distR="0" wp14:anchorId="73A0CED3" wp14:editId="590E3FD9">
            <wp:extent cx="6120765" cy="461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461406"/>
                    </a:xfrm>
                    <a:prstGeom prst="rect">
                      <a:avLst/>
                    </a:prstGeom>
                    <a:noFill/>
                    <a:ln>
                      <a:noFill/>
                    </a:ln>
                  </pic:spPr>
                </pic:pic>
              </a:graphicData>
            </a:graphic>
          </wp:inline>
        </w:drawing>
      </w:r>
    </w:p>
    <w:p w14:paraId="5BEC282B" w14:textId="338FB13E" w:rsidR="00110B46" w:rsidRDefault="00110B46" w:rsidP="005B5AFE">
      <w:r>
        <w:t>In 38.211, there is Table 7.4.1.5.2-2 for the periodicity and offset but offset column does not have any values. Also there is comment from the editor: Table 7.4.1.5.2-2 “This is only the periodicity. Need to include the absolute location (offset to some fixed position, e.g. SFN).” This fixed position might be to the SFN of the cell which is measured, or to frame start of the SSB of that frequency. For either, UE might need the SSB timing configuration even if there is no SSB on that carrier. In LTE, the corresponding reference point is start of the DRS occasion.</w:t>
      </w:r>
    </w:p>
    <w:p w14:paraId="45EDE993" w14:textId="77777777" w:rsidR="002A0674" w:rsidRPr="0089611D" w:rsidRDefault="002A0674" w:rsidP="005B5AFE"/>
    <w:p w14:paraId="41CC47B2" w14:textId="527F27A4" w:rsidR="005B5AFE" w:rsidRDefault="005B5AFE" w:rsidP="005B5AFE">
      <w:pPr>
        <w:pStyle w:val="Proposal"/>
        <w:rPr>
          <w:lang w:val="en-US"/>
        </w:rPr>
      </w:pPr>
      <w:bookmarkStart w:id="16" w:name="_Toc498651143"/>
      <w:bookmarkStart w:id="17" w:name="_Toc498657153"/>
      <w:bookmarkStart w:id="18" w:name="_Toc498657330"/>
      <w:r>
        <w:rPr>
          <w:rFonts w:cs="Arial"/>
        </w:rPr>
        <w:t xml:space="preserve">RAN2 to discuss how timing information for the CSI-RS is given </w:t>
      </w:r>
      <w:r w:rsidR="00110B46">
        <w:rPr>
          <w:rFonts w:cs="Arial"/>
        </w:rPr>
        <w:t xml:space="preserve">especially </w:t>
      </w:r>
      <w:r>
        <w:rPr>
          <w:rFonts w:cs="Arial"/>
        </w:rPr>
        <w:t>when MO is pointing to a carrier without SSB</w:t>
      </w:r>
      <w:r>
        <w:rPr>
          <w:lang w:val="en-US"/>
        </w:rPr>
        <w:t>.</w:t>
      </w:r>
      <w:bookmarkEnd w:id="16"/>
      <w:bookmarkEnd w:id="17"/>
      <w:bookmarkEnd w:id="18"/>
    </w:p>
    <w:p w14:paraId="10E792B4" w14:textId="335266D1" w:rsidR="005B5AFE" w:rsidRPr="0089611D" w:rsidRDefault="005B5AFE" w:rsidP="005B5AFE"/>
    <w:p w14:paraId="1EF3AC4E" w14:textId="515DF850" w:rsidR="005B5AFE" w:rsidRDefault="005B5AFE" w:rsidP="005B5AFE">
      <w:pPr>
        <w:pStyle w:val="Proposal"/>
        <w:rPr>
          <w:lang w:val="en-US"/>
        </w:rPr>
      </w:pPr>
      <w:bookmarkStart w:id="19" w:name="_Toc498651144"/>
      <w:bookmarkStart w:id="20" w:name="_Toc498657154"/>
      <w:bookmarkStart w:id="21" w:name="_Toc498657331"/>
      <w:r>
        <w:rPr>
          <w:rFonts w:cs="Arial"/>
        </w:rPr>
        <w:t>For serving cells that do</w:t>
      </w:r>
      <w:r w:rsidR="003A5877">
        <w:rPr>
          <w:rFonts w:cs="Arial"/>
        </w:rPr>
        <w:t>es</w:t>
      </w:r>
      <w:r>
        <w:rPr>
          <w:rFonts w:cs="Arial"/>
        </w:rPr>
        <w:t xml:space="preserve"> not have SSB, UE</w:t>
      </w:r>
      <w:r w:rsidR="003A5877">
        <w:rPr>
          <w:rFonts w:cs="Arial"/>
        </w:rPr>
        <w:t xml:space="preserve"> is given MO for the nominal location for the SSB</w:t>
      </w:r>
      <w:r>
        <w:rPr>
          <w:lang w:val="en-US"/>
        </w:rPr>
        <w:t>.</w:t>
      </w:r>
      <w:bookmarkEnd w:id="19"/>
      <w:bookmarkEnd w:id="20"/>
      <w:bookmarkEnd w:id="21"/>
    </w:p>
    <w:p w14:paraId="2E93D56D" w14:textId="54350C91" w:rsidR="005B5AFE" w:rsidRDefault="005B5AFE" w:rsidP="00337160"/>
    <w:p w14:paraId="122FECD9" w14:textId="4B081F07" w:rsidR="005D1AFD" w:rsidRDefault="005D1AFD" w:rsidP="00337160">
      <w:r>
        <w:t>If proposal 5 is agreeable, we can define MO as the frequency location of SSB or nominal SSB.</w:t>
      </w:r>
    </w:p>
    <w:p w14:paraId="1B7E4FB9" w14:textId="77777777" w:rsidR="005D1AFD" w:rsidRPr="0089611D" w:rsidRDefault="005D1AFD" w:rsidP="005D1AFD"/>
    <w:p w14:paraId="57C524B4" w14:textId="0FB6C137" w:rsidR="005D1AFD" w:rsidRDefault="005D1AFD" w:rsidP="005D1AFD">
      <w:pPr>
        <w:pStyle w:val="Proposal"/>
        <w:rPr>
          <w:lang w:val="en-US"/>
        </w:rPr>
      </w:pPr>
      <w:bookmarkStart w:id="22" w:name="_Toc498657155"/>
      <w:bookmarkStart w:id="23" w:name="_Toc498657332"/>
      <w:r>
        <w:t>Define MO as the frequency location of SSB or nominal SSB</w:t>
      </w:r>
      <w:r>
        <w:rPr>
          <w:lang w:val="en-US"/>
        </w:rPr>
        <w:t>.</w:t>
      </w:r>
      <w:bookmarkEnd w:id="22"/>
      <w:bookmarkEnd w:id="23"/>
    </w:p>
    <w:p w14:paraId="744B1E3C" w14:textId="77777777" w:rsidR="00BF1CA9" w:rsidRPr="005D1AFD" w:rsidRDefault="00BF1CA9" w:rsidP="00337160">
      <w:pPr>
        <w:rPr>
          <w:lang w:val="en-US"/>
        </w:rPr>
      </w:pPr>
    </w:p>
    <w:p w14:paraId="6AA055A0" w14:textId="09EA477A" w:rsidR="00EA3F20" w:rsidRDefault="003A5877" w:rsidP="00337160">
      <w:r>
        <w:t>Also the sync reference is missing</w:t>
      </w:r>
      <w:r w:rsidR="00E7659D">
        <w:t xml:space="preserve"> when the carrier does not have SSB present. In this case, another SSB needs to be used. </w:t>
      </w:r>
      <w:r w:rsidR="00EB4892">
        <w:t>It is clear that UE cannot have PCell that does not have SSB which is also reflected in the RAN1 R</w:t>
      </w:r>
      <w:r w:rsidR="00774743">
        <w:t>RC parameter and related agreements</w:t>
      </w:r>
      <w:r w:rsidR="00EB4892">
        <w:t xml:space="preserve">. </w:t>
      </w:r>
      <w:r w:rsidR="00E7659D">
        <w:t xml:space="preserve">Thus it would be always SCell which may be without own SSB. </w:t>
      </w:r>
      <w:r w:rsidR="00774743">
        <w:t>Thus, UE could assume</w:t>
      </w:r>
      <w:r w:rsidR="005E3C1B">
        <w:t xml:space="preserve"> PC</w:t>
      </w:r>
      <w:r w:rsidR="00774743">
        <w:t xml:space="preserve">ell SSB as the timing reference as the SSB less carrier would always </w:t>
      </w:r>
      <w:r w:rsidR="00E7659D">
        <w:t>synchronous to the SCell without SSB</w:t>
      </w:r>
      <w:r w:rsidR="00774743">
        <w:t xml:space="preserve">. </w:t>
      </w:r>
      <w:r w:rsidR="00DB17A1">
        <w:t>Further, the sync reference could be another SCell which does have SSB. In principle, the sync source could be on another carrier but it is not clear which are such carriers that can be used for the sync source. Therefore, for December completion, we propose the serving cell sync source option as a default.</w:t>
      </w:r>
    </w:p>
    <w:p w14:paraId="123A059C" w14:textId="77777777" w:rsidR="005E3C1B" w:rsidRPr="0089611D" w:rsidRDefault="005E3C1B" w:rsidP="005E3C1B"/>
    <w:p w14:paraId="4A62F926" w14:textId="48BEF085" w:rsidR="005E3C1B" w:rsidRPr="005E3C1B" w:rsidRDefault="00774743" w:rsidP="00774743">
      <w:pPr>
        <w:pStyle w:val="Proposal"/>
        <w:rPr>
          <w:lang w:val="en-US"/>
        </w:rPr>
      </w:pPr>
      <w:bookmarkStart w:id="24" w:name="_Toc493785589"/>
      <w:bookmarkStart w:id="25" w:name="_Toc494417900"/>
      <w:bookmarkStart w:id="26" w:name="_Toc498657156"/>
      <w:bookmarkStart w:id="27" w:name="_Toc498657333"/>
      <w:bookmarkStart w:id="28" w:name="_Toc498651145"/>
      <w:r>
        <w:rPr>
          <w:lang w:val="en-US"/>
        </w:rPr>
        <w:t>If a</w:t>
      </w:r>
      <w:r w:rsidR="005E3C1B">
        <w:rPr>
          <w:lang w:val="en-US"/>
        </w:rPr>
        <w:t xml:space="preserve"> MO </w:t>
      </w:r>
      <w:r>
        <w:rPr>
          <w:lang w:val="en-US"/>
        </w:rPr>
        <w:t>configures UE to measure from CSI-RS but SSBPresence parameter indicates SSB is not present, UE assumes PCell</w:t>
      </w:r>
      <w:r w:rsidR="00DB17A1">
        <w:rPr>
          <w:lang w:val="en-US"/>
        </w:rPr>
        <w:t>/SCell</w:t>
      </w:r>
      <w:r>
        <w:rPr>
          <w:lang w:val="en-US"/>
        </w:rPr>
        <w:t xml:space="preserve"> SSB as sync reference.</w:t>
      </w:r>
      <w:bookmarkEnd w:id="24"/>
      <w:bookmarkEnd w:id="25"/>
      <w:bookmarkEnd w:id="26"/>
      <w:bookmarkEnd w:id="27"/>
      <w:r w:rsidRPr="005E3C1B">
        <w:rPr>
          <w:lang w:val="en-US"/>
        </w:rPr>
        <w:t xml:space="preserve"> </w:t>
      </w:r>
      <w:bookmarkEnd w:id="28"/>
    </w:p>
    <w:bookmarkEnd w:id="11"/>
    <w:p w14:paraId="6DAAF8C8" w14:textId="77777777" w:rsidR="00C01F33" w:rsidRPr="00E56923" w:rsidRDefault="00C01F33" w:rsidP="00CE0424">
      <w:pPr>
        <w:pStyle w:val="Heading1"/>
      </w:pPr>
      <w:r w:rsidRPr="00E56923">
        <w:t>Conclusion</w:t>
      </w:r>
    </w:p>
    <w:p w14:paraId="45C537A4" w14:textId="77777777" w:rsidR="005D1AFD" w:rsidRDefault="005D1AFD" w:rsidP="005D1AFD">
      <w:pPr>
        <w:pStyle w:val="BodyText"/>
        <w:rPr>
          <w:noProof/>
        </w:rPr>
      </w:pPr>
      <w:bookmarkStart w:id="29" w:name="_In-sequence_SDU_delivery"/>
      <w:bookmarkEnd w:id="29"/>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9F4613A" w14:textId="77777777" w:rsidR="005D1AFD" w:rsidRPr="005D1AFD" w:rsidRDefault="005D1AFD">
      <w:pPr>
        <w:pStyle w:val="TOC1"/>
        <w:rPr>
          <w:rFonts w:asciiTheme="minorHAnsi" w:eastAsiaTheme="minorEastAsia" w:hAnsiTheme="minorHAnsi" w:cstheme="minorBidi"/>
          <w:b w:val="0"/>
          <w:sz w:val="22"/>
          <w:lang w:eastAsia="fi-FI"/>
        </w:rPr>
      </w:pPr>
      <w:r w:rsidRPr="00A15653">
        <w:t>Observation 1</w:t>
      </w:r>
      <w:r w:rsidRPr="005D1AFD">
        <w:rPr>
          <w:rFonts w:asciiTheme="minorHAnsi" w:eastAsiaTheme="minorEastAsia" w:hAnsiTheme="minorHAnsi" w:cstheme="minorBidi"/>
          <w:b w:val="0"/>
          <w:sz w:val="22"/>
          <w:lang w:eastAsia="fi-FI"/>
        </w:rPr>
        <w:tab/>
      </w:r>
      <w:r w:rsidRPr="00A15653">
        <w:t>If the SSB location is given directly in the MO, the amount of bits needed is considerably less than with the current agreement on GARFCN and offset to SSB.</w:t>
      </w:r>
    </w:p>
    <w:p w14:paraId="6F42AEF5" w14:textId="77777777" w:rsidR="005D1AFD" w:rsidRPr="005D1AFD" w:rsidRDefault="005D1AFD">
      <w:pPr>
        <w:pStyle w:val="TOC1"/>
        <w:rPr>
          <w:rFonts w:asciiTheme="minorHAnsi" w:eastAsiaTheme="minorEastAsia" w:hAnsiTheme="minorHAnsi" w:cstheme="minorBidi"/>
          <w:b w:val="0"/>
          <w:sz w:val="22"/>
          <w:lang w:eastAsia="fi-FI"/>
        </w:rPr>
      </w:pPr>
      <w:r>
        <w:t>Observation 2</w:t>
      </w:r>
      <w:r w:rsidRPr="005D1AFD">
        <w:rPr>
          <w:rFonts w:asciiTheme="minorHAnsi" w:eastAsiaTheme="minorEastAsia" w:hAnsiTheme="minorHAnsi" w:cstheme="minorBidi"/>
          <w:b w:val="0"/>
          <w:sz w:val="22"/>
          <w:lang w:eastAsia="fi-FI"/>
        </w:rPr>
        <w:tab/>
      </w:r>
      <w:r w:rsidRPr="00A15653">
        <w:t>With this approach MO becomes agnostic to NR channel/carrier.</w:t>
      </w:r>
    </w:p>
    <w:p w14:paraId="6C3ED261" w14:textId="77777777" w:rsidR="005D1AFD" w:rsidRPr="005D1AFD" w:rsidRDefault="005D1AFD">
      <w:pPr>
        <w:pStyle w:val="TOC1"/>
        <w:rPr>
          <w:rFonts w:asciiTheme="minorHAnsi" w:eastAsiaTheme="minorEastAsia" w:hAnsiTheme="minorHAnsi" w:cstheme="minorBidi"/>
          <w:b w:val="0"/>
          <w:sz w:val="22"/>
          <w:lang w:eastAsia="fi-FI"/>
        </w:rPr>
      </w:pPr>
      <w:r>
        <w:t>Observation 3</w:t>
      </w:r>
      <w:r w:rsidRPr="005D1AFD">
        <w:rPr>
          <w:rFonts w:asciiTheme="minorHAnsi" w:eastAsiaTheme="minorEastAsia" w:hAnsiTheme="minorHAnsi" w:cstheme="minorBidi"/>
          <w:b w:val="0"/>
          <w:sz w:val="22"/>
          <w:lang w:eastAsia="fi-FI"/>
        </w:rPr>
        <w:tab/>
      </w:r>
      <w:r>
        <w:t>If a nominal location of SSB can be given for carrier without SSB as the reference point, then it is feasible to define MO as SSB frequency location.</w:t>
      </w:r>
    </w:p>
    <w:p w14:paraId="504423DE" w14:textId="77777777" w:rsidR="005D1AFD" w:rsidRDefault="005D1AFD" w:rsidP="005D1AFD">
      <w:pPr>
        <w:pStyle w:val="BodyText"/>
        <w:rPr>
          <w:b/>
          <w:bCs/>
        </w:rPr>
      </w:pPr>
      <w:r>
        <w:rPr>
          <w:b/>
          <w:bCs/>
        </w:rPr>
        <w:fldChar w:fldCharType="end"/>
      </w:r>
    </w:p>
    <w:p w14:paraId="70F37AFA" w14:textId="77777777" w:rsidR="005D1AFD" w:rsidRDefault="005D1AFD" w:rsidP="005D1AFD">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7C1B6BD" w14:textId="77777777" w:rsidR="005D1AFD" w:rsidRPr="005D1AFD" w:rsidRDefault="005D1AFD">
      <w:pPr>
        <w:pStyle w:val="TOC1"/>
        <w:rPr>
          <w:rFonts w:asciiTheme="minorHAnsi" w:eastAsiaTheme="minorEastAsia" w:hAnsiTheme="minorHAnsi" w:cstheme="minorBidi"/>
          <w:b w:val="0"/>
          <w:sz w:val="22"/>
          <w:lang w:eastAsia="fi-FI"/>
        </w:rPr>
      </w:pPr>
      <w:r w:rsidRPr="001D35A9">
        <w:t>Proposal 1</w:t>
      </w:r>
      <w:r w:rsidRPr="005D1AFD">
        <w:rPr>
          <w:rFonts w:asciiTheme="minorHAnsi" w:eastAsiaTheme="minorEastAsia" w:hAnsiTheme="minorHAnsi" w:cstheme="minorBidi"/>
          <w:b w:val="0"/>
          <w:sz w:val="22"/>
          <w:lang w:eastAsia="fi-FI"/>
        </w:rPr>
        <w:tab/>
      </w:r>
      <w:r w:rsidRPr="001D35A9">
        <w:rPr>
          <w:rFonts w:cs="Arial"/>
        </w:rPr>
        <w:t>Network may configure UE with multiple MOs for the same carrier if the SSB frequency location is different</w:t>
      </w:r>
      <w:r w:rsidRPr="001D35A9">
        <w:t>.</w:t>
      </w:r>
    </w:p>
    <w:p w14:paraId="6D8C5C7B" w14:textId="77777777" w:rsidR="005D1AFD" w:rsidRPr="005D1AFD" w:rsidRDefault="005D1AFD">
      <w:pPr>
        <w:pStyle w:val="TOC1"/>
        <w:rPr>
          <w:rFonts w:asciiTheme="minorHAnsi" w:eastAsiaTheme="minorEastAsia" w:hAnsiTheme="minorHAnsi" w:cstheme="minorBidi"/>
          <w:b w:val="0"/>
          <w:sz w:val="22"/>
          <w:lang w:eastAsia="fi-FI"/>
        </w:rPr>
      </w:pPr>
      <w:r w:rsidRPr="001D35A9">
        <w:t>Proposal 2</w:t>
      </w:r>
      <w:r w:rsidRPr="005D1AFD">
        <w:rPr>
          <w:rFonts w:asciiTheme="minorHAnsi" w:eastAsiaTheme="minorEastAsia" w:hAnsiTheme="minorHAnsi" w:cstheme="minorBidi"/>
          <w:b w:val="0"/>
          <w:sz w:val="22"/>
          <w:lang w:eastAsia="fi-FI"/>
        </w:rPr>
        <w:tab/>
      </w:r>
      <w:r w:rsidRPr="001D35A9">
        <w:rPr>
          <w:rFonts w:cs="Arial"/>
        </w:rPr>
        <w:t xml:space="preserve">In NR, </w:t>
      </w:r>
      <w:r>
        <w:t>UE is always configured with a MO for the cell defining SSB for the serving cell</w:t>
      </w:r>
      <w:r w:rsidRPr="001D35A9">
        <w:t xml:space="preserve">, </w:t>
      </w:r>
      <w:r w:rsidRPr="001D35A9">
        <w:rPr>
          <w:i/>
        </w:rPr>
        <w:t>if the serving cell has SSB</w:t>
      </w:r>
      <w:r w:rsidRPr="001D35A9">
        <w:t>.</w:t>
      </w:r>
    </w:p>
    <w:p w14:paraId="3CC4C322" w14:textId="77777777" w:rsidR="005D1AFD" w:rsidRPr="005D1AFD" w:rsidRDefault="005D1AFD">
      <w:pPr>
        <w:pStyle w:val="TOC1"/>
        <w:rPr>
          <w:rFonts w:asciiTheme="minorHAnsi" w:eastAsiaTheme="minorEastAsia" w:hAnsiTheme="minorHAnsi" w:cstheme="minorBidi"/>
          <w:b w:val="0"/>
          <w:sz w:val="22"/>
          <w:lang w:eastAsia="fi-FI"/>
        </w:rPr>
      </w:pPr>
      <w:r w:rsidRPr="001D35A9">
        <w:t>Proposal 3</w:t>
      </w:r>
      <w:r w:rsidRPr="005D1AFD">
        <w:rPr>
          <w:rFonts w:asciiTheme="minorHAnsi" w:eastAsiaTheme="minorEastAsia" w:hAnsiTheme="minorHAnsi" w:cstheme="minorBidi"/>
          <w:b w:val="0"/>
          <w:sz w:val="22"/>
          <w:lang w:eastAsia="fi-FI"/>
        </w:rPr>
        <w:tab/>
      </w:r>
      <w:r w:rsidRPr="001D35A9">
        <w:rPr>
          <w:rFonts w:cs="Arial"/>
        </w:rPr>
        <w:t>A MO pointing to a “carrier” without SSB, discuss if a nominal location of the SSB is given and then an frequency offset to the CSI-RS resource</w:t>
      </w:r>
      <w:r w:rsidRPr="001D35A9">
        <w:t>.</w:t>
      </w:r>
    </w:p>
    <w:p w14:paraId="637ED148" w14:textId="77777777" w:rsidR="005D1AFD" w:rsidRPr="005D1AFD" w:rsidRDefault="005D1AFD">
      <w:pPr>
        <w:pStyle w:val="TOC1"/>
        <w:rPr>
          <w:rFonts w:asciiTheme="minorHAnsi" w:eastAsiaTheme="minorEastAsia" w:hAnsiTheme="minorHAnsi" w:cstheme="minorBidi"/>
          <w:b w:val="0"/>
          <w:sz w:val="22"/>
          <w:lang w:eastAsia="fi-FI"/>
        </w:rPr>
      </w:pPr>
      <w:r w:rsidRPr="001D35A9">
        <w:t>Proposal 4</w:t>
      </w:r>
      <w:r w:rsidRPr="005D1AFD">
        <w:rPr>
          <w:rFonts w:asciiTheme="minorHAnsi" w:eastAsiaTheme="minorEastAsia" w:hAnsiTheme="minorHAnsi" w:cstheme="minorBidi"/>
          <w:b w:val="0"/>
          <w:sz w:val="22"/>
          <w:lang w:eastAsia="fi-FI"/>
        </w:rPr>
        <w:tab/>
      </w:r>
      <w:r w:rsidRPr="001D35A9">
        <w:rPr>
          <w:rFonts w:cs="Arial"/>
        </w:rPr>
        <w:t>RAN2 to discuss how timing information for the CSI-RS is given especially when MO is pointing to a carrier without SSB</w:t>
      </w:r>
      <w:r w:rsidRPr="001D35A9">
        <w:t>.</w:t>
      </w:r>
    </w:p>
    <w:p w14:paraId="132FA082" w14:textId="77777777" w:rsidR="005D1AFD" w:rsidRPr="005D1AFD" w:rsidRDefault="005D1AFD">
      <w:pPr>
        <w:pStyle w:val="TOC1"/>
        <w:rPr>
          <w:rFonts w:asciiTheme="minorHAnsi" w:eastAsiaTheme="minorEastAsia" w:hAnsiTheme="minorHAnsi" w:cstheme="minorBidi"/>
          <w:b w:val="0"/>
          <w:sz w:val="22"/>
          <w:lang w:eastAsia="fi-FI"/>
        </w:rPr>
      </w:pPr>
      <w:r w:rsidRPr="001D35A9">
        <w:t>Proposal 5</w:t>
      </w:r>
      <w:r w:rsidRPr="005D1AFD">
        <w:rPr>
          <w:rFonts w:asciiTheme="minorHAnsi" w:eastAsiaTheme="minorEastAsia" w:hAnsiTheme="minorHAnsi" w:cstheme="minorBidi"/>
          <w:b w:val="0"/>
          <w:sz w:val="22"/>
          <w:lang w:eastAsia="fi-FI"/>
        </w:rPr>
        <w:tab/>
      </w:r>
      <w:r w:rsidRPr="001D35A9">
        <w:rPr>
          <w:rFonts w:cs="Arial"/>
        </w:rPr>
        <w:t>For serving cells that does not have SSB, UE is given MO for the nominal location for the SSB</w:t>
      </w:r>
      <w:r w:rsidRPr="001D35A9">
        <w:t>.</w:t>
      </w:r>
    </w:p>
    <w:p w14:paraId="252D5D8A" w14:textId="77777777" w:rsidR="005D1AFD" w:rsidRPr="005D1AFD" w:rsidRDefault="005D1AFD">
      <w:pPr>
        <w:pStyle w:val="TOC1"/>
        <w:rPr>
          <w:rFonts w:asciiTheme="minorHAnsi" w:eastAsiaTheme="minorEastAsia" w:hAnsiTheme="minorHAnsi" w:cstheme="minorBidi"/>
          <w:b w:val="0"/>
          <w:sz w:val="22"/>
          <w:lang w:eastAsia="fi-FI"/>
        </w:rPr>
      </w:pPr>
      <w:r w:rsidRPr="001D35A9">
        <w:t>Proposal 6</w:t>
      </w:r>
      <w:r w:rsidRPr="005D1AFD">
        <w:rPr>
          <w:rFonts w:asciiTheme="minorHAnsi" w:eastAsiaTheme="minorEastAsia" w:hAnsiTheme="minorHAnsi" w:cstheme="minorBidi"/>
          <w:b w:val="0"/>
          <w:sz w:val="22"/>
          <w:lang w:eastAsia="fi-FI"/>
        </w:rPr>
        <w:tab/>
      </w:r>
      <w:r>
        <w:t>Define MO as the frequency location of SSB or nominal SSB</w:t>
      </w:r>
      <w:r w:rsidRPr="001D35A9">
        <w:t>.</w:t>
      </w:r>
    </w:p>
    <w:p w14:paraId="586A4774" w14:textId="77777777" w:rsidR="005D1AFD" w:rsidRPr="005D1AFD" w:rsidRDefault="005D1AFD">
      <w:pPr>
        <w:pStyle w:val="TOC1"/>
        <w:rPr>
          <w:rFonts w:asciiTheme="minorHAnsi" w:eastAsiaTheme="minorEastAsia" w:hAnsiTheme="minorHAnsi" w:cstheme="minorBidi"/>
          <w:b w:val="0"/>
          <w:sz w:val="22"/>
          <w:lang w:eastAsia="fi-FI"/>
        </w:rPr>
      </w:pPr>
      <w:r w:rsidRPr="001D35A9">
        <w:t>Proposal 7</w:t>
      </w:r>
      <w:r w:rsidRPr="005D1AFD">
        <w:rPr>
          <w:rFonts w:asciiTheme="minorHAnsi" w:eastAsiaTheme="minorEastAsia" w:hAnsiTheme="minorHAnsi" w:cstheme="minorBidi"/>
          <w:b w:val="0"/>
          <w:sz w:val="22"/>
          <w:lang w:eastAsia="fi-FI"/>
        </w:rPr>
        <w:tab/>
      </w:r>
      <w:r w:rsidRPr="001D35A9">
        <w:t>If a MO configures UE to measure from CSI-RS but SSBPresence parameter indicates SSB is not present, UE assumes PCell/SCell SSB as sync reference.</w:t>
      </w:r>
    </w:p>
    <w:p w14:paraId="132B200B" w14:textId="77777777" w:rsidR="005D1AFD" w:rsidRPr="00CE0424" w:rsidRDefault="005D1AFD" w:rsidP="005D1AFD">
      <w:pPr>
        <w:rPr>
          <w:b/>
          <w:bCs/>
        </w:rPr>
      </w:pPr>
      <w:r>
        <w:rPr>
          <w:b/>
          <w:bCs/>
        </w:rPr>
        <w:fldChar w:fldCharType="end"/>
      </w:r>
    </w:p>
    <w:p w14:paraId="7878FAD1" w14:textId="77777777" w:rsidR="005D1AFD" w:rsidRPr="00CE0424" w:rsidRDefault="005D1AFD" w:rsidP="005D1AFD">
      <w:pPr>
        <w:rPr>
          <w:b/>
          <w:bCs/>
        </w:rPr>
      </w:pPr>
    </w:p>
    <w:p w14:paraId="03D00CA3" w14:textId="6D2A9C6C" w:rsidR="0089611D" w:rsidRPr="0089611D" w:rsidRDefault="0089611D" w:rsidP="0089611D">
      <w:pPr>
        <w:pStyle w:val="Reference"/>
        <w:numPr>
          <w:ilvl w:val="0"/>
          <w:numId w:val="0"/>
        </w:numPr>
        <w:ind w:left="567" w:hanging="567"/>
        <w:rPr>
          <w:rFonts w:cs="Arial"/>
          <w:lang w:val="en-US" w:eastAsia="en-US"/>
        </w:rPr>
      </w:pPr>
    </w:p>
    <w:p w14:paraId="4F3D1ECA" w14:textId="12B4B931" w:rsidR="00F507D1" w:rsidRPr="00E56923" w:rsidRDefault="0089611D" w:rsidP="0089611D">
      <w:pPr>
        <w:pStyle w:val="Heading1"/>
      </w:pPr>
      <w:r w:rsidRPr="00E56923">
        <w:t xml:space="preserve"> </w:t>
      </w:r>
      <w:r w:rsidR="00F507D1" w:rsidRPr="00E56923">
        <w:t>References</w:t>
      </w:r>
    </w:p>
    <w:p w14:paraId="6EC1F313" w14:textId="65C3827F" w:rsidR="00410603" w:rsidRPr="00EB4892" w:rsidRDefault="00B72F59" w:rsidP="00F15A2A">
      <w:pPr>
        <w:pStyle w:val="Reference"/>
        <w:rPr>
          <w:rFonts w:asciiTheme="minorHAnsi" w:hAnsiTheme="minorHAnsi"/>
          <w:lang w:val="en-US" w:eastAsia="en-US"/>
        </w:rPr>
      </w:pPr>
      <w:bookmarkStart w:id="30" w:name="_Ref481592396"/>
      <w:bookmarkStart w:id="31" w:name="_Ref485395783"/>
      <w:bookmarkStart w:id="32" w:name="_Ref493776116"/>
      <w:r w:rsidRPr="00EB4892">
        <w:t>R1</w:t>
      </w:r>
      <w:r w:rsidR="00080DCB" w:rsidRPr="00EB4892">
        <w:t>-1716907</w:t>
      </w:r>
      <w:r w:rsidR="00F15A2A" w:rsidRPr="00EB4892">
        <w:t xml:space="preserve">, </w:t>
      </w:r>
      <w:r w:rsidR="00080DCB" w:rsidRPr="00EB4892">
        <w:rPr>
          <w:rFonts w:cs="Arial"/>
        </w:rPr>
        <w:t xml:space="preserve">Reply </w:t>
      </w:r>
      <w:r w:rsidR="00080DCB" w:rsidRPr="00EB4892">
        <w:rPr>
          <w:rFonts w:cs="Arial"/>
          <w:bCs/>
        </w:rPr>
        <w:t>LS on multiple SSBs within a wideband carrier</w:t>
      </w:r>
      <w:r w:rsidR="00410603" w:rsidRPr="00EB4892">
        <w:t xml:space="preserve">, </w:t>
      </w:r>
      <w:bookmarkEnd w:id="30"/>
      <w:bookmarkEnd w:id="31"/>
      <w:r w:rsidRPr="00EB4892">
        <w:t>RAN1, RAN2#99bis, Prague, Cz, October 2017</w:t>
      </w:r>
      <w:bookmarkEnd w:id="32"/>
    </w:p>
    <w:p w14:paraId="75CB863C" w14:textId="77777777" w:rsidR="006835E3" w:rsidRPr="00500C2E" w:rsidRDefault="00500C2E" w:rsidP="006835E3">
      <w:pPr>
        <w:pStyle w:val="Reference"/>
        <w:rPr>
          <w:rFonts w:asciiTheme="minorHAnsi" w:hAnsiTheme="minorHAnsi"/>
          <w:lang w:val="en-US" w:eastAsia="en-US"/>
        </w:rPr>
      </w:pPr>
      <w:bookmarkStart w:id="33" w:name="_Ref493779117"/>
      <w:r w:rsidRPr="00EB4892">
        <w:t xml:space="preserve">R4-1709108, </w:t>
      </w:r>
      <w:r w:rsidRPr="00EB4892">
        <w:rPr>
          <w:rFonts w:cs="Arial"/>
        </w:rPr>
        <w:t>LS</w:t>
      </w:r>
      <w:r w:rsidRPr="00561708">
        <w:rPr>
          <w:rFonts w:cs="Arial"/>
        </w:rPr>
        <w:t xml:space="preserve"> on Definitions of Intra-frequency and Inter-frequency Measurements</w:t>
      </w:r>
      <w:r>
        <w:rPr>
          <w:rFonts w:cs="Arial"/>
        </w:rPr>
        <w:t xml:space="preserve">, </w:t>
      </w:r>
      <w:r w:rsidR="006835E3">
        <w:rPr>
          <w:rFonts w:cs="Arial"/>
        </w:rPr>
        <w:t xml:space="preserve">RAN4, </w:t>
      </w:r>
      <w:r w:rsidR="006835E3">
        <w:t>Prague, Cz, October 2017</w:t>
      </w:r>
      <w:bookmarkEnd w:id="33"/>
    </w:p>
    <w:p w14:paraId="18722FC2" w14:textId="5D4AD478" w:rsidR="00500C2E" w:rsidRPr="00EB4892" w:rsidRDefault="00EB4892" w:rsidP="00EB4892">
      <w:pPr>
        <w:pStyle w:val="Reference"/>
        <w:rPr>
          <w:rFonts w:asciiTheme="minorHAnsi" w:hAnsiTheme="minorHAnsi"/>
          <w:lang w:val="en-US" w:eastAsia="en-US"/>
        </w:rPr>
      </w:pPr>
      <w:bookmarkStart w:id="34" w:name="_Ref494417201"/>
      <w:r w:rsidRPr="00EB4892">
        <w:t xml:space="preserve">R4-1709890, </w:t>
      </w:r>
      <w:r w:rsidRPr="0035066D">
        <w:t>LS on scenarios of multiple SSB</w:t>
      </w:r>
      <w:r>
        <w:t>, RAN4, Nagoya, Japan,</w:t>
      </w:r>
      <w:r w:rsidRPr="00EB4892">
        <w:t xml:space="preserve"> September, 2017</w:t>
      </w:r>
      <w:bookmarkEnd w:id="34"/>
    </w:p>
    <w:p w14:paraId="1AC5F456" w14:textId="1889B77D" w:rsidR="00EB4892" w:rsidRDefault="00EB4892" w:rsidP="00EB4892">
      <w:pPr>
        <w:pStyle w:val="Reference"/>
      </w:pPr>
      <w:bookmarkStart w:id="35" w:name="_Ref494417431"/>
      <w:r w:rsidRPr="00EB4892">
        <w:t>R1-1714819, RRC parameters, RAN1</w:t>
      </w:r>
      <w:bookmarkEnd w:id="35"/>
    </w:p>
    <w:p w14:paraId="7FB52C5A" w14:textId="58FC3B4B" w:rsidR="00133D3A" w:rsidRPr="00500C2E" w:rsidRDefault="00133D3A" w:rsidP="00133D3A">
      <w:pPr>
        <w:pStyle w:val="Reference"/>
        <w:rPr>
          <w:rFonts w:asciiTheme="minorHAnsi" w:hAnsiTheme="minorHAnsi"/>
          <w:lang w:val="en-US" w:eastAsia="en-US"/>
        </w:rPr>
      </w:pPr>
      <w:bookmarkStart w:id="36" w:name="_Ref497422270"/>
      <w:r w:rsidRPr="00133D3A">
        <w:t>R4-1711734</w:t>
      </w:r>
      <w:r>
        <w:t xml:space="preserve">, </w:t>
      </w:r>
      <w:r w:rsidRPr="00133D3A">
        <w:rPr>
          <w:lang w:val="en-US"/>
        </w:rPr>
        <w:t>WF on Channel Raster for NR</w:t>
      </w:r>
      <w:r>
        <w:rPr>
          <w:lang w:val="en-US"/>
        </w:rPr>
        <w:t xml:space="preserve">, </w:t>
      </w:r>
      <w:r w:rsidRPr="00133D3A">
        <w:t>Qualcomm Incorporated, Ericsson, Nokia</w:t>
      </w:r>
      <w:r>
        <w:t>,</w:t>
      </w:r>
      <w:r w:rsidRPr="00133D3A">
        <w:rPr>
          <w:rFonts w:cs="Arial"/>
        </w:rPr>
        <w:t xml:space="preserve"> </w:t>
      </w:r>
      <w:r>
        <w:rPr>
          <w:rFonts w:cs="Arial"/>
        </w:rPr>
        <w:t xml:space="preserve">RAN4, </w:t>
      </w:r>
      <w:r>
        <w:t>Dubrovnik, Croatia, October 2017</w:t>
      </w:r>
      <w:bookmarkEnd w:id="36"/>
    </w:p>
    <w:p w14:paraId="7650F1C0" w14:textId="1433BFFB" w:rsidR="00133D3A" w:rsidRPr="00EB4892" w:rsidRDefault="0083430F" w:rsidP="00F257C6">
      <w:pPr>
        <w:pStyle w:val="Reference"/>
      </w:pPr>
      <w:bookmarkStart w:id="37" w:name="_Ref498640086"/>
      <w:r w:rsidRPr="00CE5393">
        <w:rPr>
          <w:lang w:val="en-US"/>
        </w:rPr>
        <w:t>R4-1712713, NR synchronization channel raster, Ericsson, Reno, Nevada, US, 27 November – 1 December, 2017</w:t>
      </w:r>
      <w:bookmarkEnd w:id="37"/>
    </w:p>
    <w:sectPr w:rsidR="00133D3A" w:rsidRPr="00EB489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218DB" w14:textId="77777777" w:rsidR="005B287F" w:rsidRDefault="005B287F">
      <w:r>
        <w:separator/>
      </w:r>
    </w:p>
  </w:endnote>
  <w:endnote w:type="continuationSeparator" w:id="0">
    <w:p w14:paraId="40AC7D7F" w14:textId="77777777" w:rsidR="005B287F" w:rsidRDefault="005B287F">
      <w:r>
        <w:continuationSeparator/>
      </w:r>
    </w:p>
  </w:endnote>
  <w:endnote w:type="continuationNotice" w:id="1">
    <w:p w14:paraId="128B3A04" w14:textId="77777777" w:rsidR="005B287F" w:rsidRDefault="005B2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540B78F0" w:rsidR="004E0F74" w:rsidRDefault="004E0F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697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97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AE102" w14:textId="77777777" w:rsidR="005B287F" w:rsidRDefault="005B287F">
      <w:r>
        <w:separator/>
      </w:r>
    </w:p>
  </w:footnote>
  <w:footnote w:type="continuationSeparator" w:id="0">
    <w:p w14:paraId="5133D4AD" w14:textId="77777777" w:rsidR="005B287F" w:rsidRDefault="005B287F">
      <w:r>
        <w:continuationSeparator/>
      </w:r>
    </w:p>
  </w:footnote>
  <w:footnote w:type="continuationNotice" w:id="1">
    <w:p w14:paraId="6D09FA42" w14:textId="77777777" w:rsidR="005B287F" w:rsidRDefault="005B2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4E0F74" w:rsidRDefault="004E0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1"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B24F45"/>
    <w:multiLevelType w:val="hybridMultilevel"/>
    <w:tmpl w:val="954E5FD2"/>
    <w:lvl w:ilvl="0" w:tplc="6DA844CA">
      <w:start w:val="1"/>
      <w:numFmt w:val="bullet"/>
      <w:lvlText w:val="›"/>
      <w:lvlJc w:val="left"/>
      <w:pPr>
        <w:tabs>
          <w:tab w:val="num" w:pos="720"/>
        </w:tabs>
        <w:ind w:left="720" w:hanging="360"/>
      </w:pPr>
      <w:rPr>
        <w:rFonts w:ascii="Arial" w:hAnsi="Arial" w:cs="Times New Roman" w:hint="default"/>
      </w:rPr>
    </w:lvl>
    <w:lvl w:ilvl="1" w:tplc="61628AF2">
      <w:numFmt w:val="bullet"/>
      <w:lvlText w:val="–"/>
      <w:lvlJc w:val="left"/>
      <w:pPr>
        <w:tabs>
          <w:tab w:val="num" w:pos="1440"/>
        </w:tabs>
        <w:ind w:left="1440" w:hanging="360"/>
      </w:pPr>
      <w:rPr>
        <w:rFonts w:ascii="Ericsson Capital TT" w:hAnsi="Ericsson Capital TT" w:hint="default"/>
      </w:rPr>
    </w:lvl>
    <w:lvl w:ilvl="2" w:tplc="EF4E1254">
      <w:start w:val="1"/>
      <w:numFmt w:val="bullet"/>
      <w:lvlText w:val="›"/>
      <w:lvlJc w:val="left"/>
      <w:pPr>
        <w:tabs>
          <w:tab w:val="num" w:pos="2160"/>
        </w:tabs>
        <w:ind w:left="2160" w:hanging="360"/>
      </w:pPr>
      <w:rPr>
        <w:rFonts w:ascii="Arial" w:hAnsi="Arial" w:cs="Times New Roman" w:hint="default"/>
      </w:rPr>
    </w:lvl>
    <w:lvl w:ilvl="3" w:tplc="6BE0EA66">
      <w:start w:val="1"/>
      <w:numFmt w:val="bullet"/>
      <w:lvlText w:val="›"/>
      <w:lvlJc w:val="left"/>
      <w:pPr>
        <w:tabs>
          <w:tab w:val="num" w:pos="2880"/>
        </w:tabs>
        <w:ind w:left="2880" w:hanging="360"/>
      </w:pPr>
      <w:rPr>
        <w:rFonts w:ascii="Arial" w:hAnsi="Arial" w:cs="Times New Roman" w:hint="default"/>
      </w:rPr>
    </w:lvl>
    <w:lvl w:ilvl="4" w:tplc="FFDAFDD8">
      <w:start w:val="1"/>
      <w:numFmt w:val="bullet"/>
      <w:lvlText w:val="›"/>
      <w:lvlJc w:val="left"/>
      <w:pPr>
        <w:tabs>
          <w:tab w:val="num" w:pos="3600"/>
        </w:tabs>
        <w:ind w:left="3600" w:hanging="360"/>
      </w:pPr>
      <w:rPr>
        <w:rFonts w:ascii="Arial" w:hAnsi="Arial" w:cs="Times New Roman" w:hint="default"/>
      </w:rPr>
    </w:lvl>
    <w:lvl w:ilvl="5" w:tplc="D6C4DF08">
      <w:start w:val="1"/>
      <w:numFmt w:val="bullet"/>
      <w:lvlText w:val="›"/>
      <w:lvlJc w:val="left"/>
      <w:pPr>
        <w:tabs>
          <w:tab w:val="num" w:pos="4320"/>
        </w:tabs>
        <w:ind w:left="4320" w:hanging="360"/>
      </w:pPr>
      <w:rPr>
        <w:rFonts w:ascii="Arial" w:hAnsi="Arial" w:cs="Times New Roman" w:hint="default"/>
      </w:rPr>
    </w:lvl>
    <w:lvl w:ilvl="6" w:tplc="E17AC512">
      <w:start w:val="1"/>
      <w:numFmt w:val="bullet"/>
      <w:lvlText w:val="›"/>
      <w:lvlJc w:val="left"/>
      <w:pPr>
        <w:tabs>
          <w:tab w:val="num" w:pos="5040"/>
        </w:tabs>
        <w:ind w:left="5040" w:hanging="360"/>
      </w:pPr>
      <w:rPr>
        <w:rFonts w:ascii="Arial" w:hAnsi="Arial" w:cs="Times New Roman" w:hint="default"/>
      </w:rPr>
    </w:lvl>
    <w:lvl w:ilvl="7" w:tplc="D5C6B47E">
      <w:start w:val="1"/>
      <w:numFmt w:val="bullet"/>
      <w:lvlText w:val="›"/>
      <w:lvlJc w:val="left"/>
      <w:pPr>
        <w:tabs>
          <w:tab w:val="num" w:pos="5760"/>
        </w:tabs>
        <w:ind w:left="5760" w:hanging="360"/>
      </w:pPr>
      <w:rPr>
        <w:rFonts w:ascii="Arial" w:hAnsi="Arial" w:cs="Times New Roman" w:hint="default"/>
      </w:rPr>
    </w:lvl>
    <w:lvl w:ilvl="8" w:tplc="D3EA57C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689023A"/>
    <w:multiLevelType w:val="hybridMultilevel"/>
    <w:tmpl w:val="D652B2FE"/>
    <w:lvl w:ilvl="0" w:tplc="71FE8D2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3D63C2"/>
    <w:multiLevelType w:val="hybridMultilevel"/>
    <w:tmpl w:val="91B6641A"/>
    <w:lvl w:ilvl="0" w:tplc="9E6E56B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952B27"/>
    <w:multiLevelType w:val="hybridMultilevel"/>
    <w:tmpl w:val="495CDA16"/>
    <w:lvl w:ilvl="0" w:tplc="01846FCE">
      <w:start w:val="1"/>
      <w:numFmt w:val="bullet"/>
      <w:lvlText w:val="•"/>
      <w:lvlJc w:val="left"/>
      <w:pPr>
        <w:tabs>
          <w:tab w:val="num" w:pos="720"/>
        </w:tabs>
        <w:ind w:left="720" w:hanging="360"/>
      </w:pPr>
      <w:rPr>
        <w:rFonts w:ascii="Arial" w:hAnsi="Arial" w:hint="default"/>
      </w:rPr>
    </w:lvl>
    <w:lvl w:ilvl="1" w:tplc="9A6A6942">
      <w:numFmt w:val="bullet"/>
      <w:lvlText w:val="–"/>
      <w:lvlJc w:val="left"/>
      <w:pPr>
        <w:tabs>
          <w:tab w:val="num" w:pos="1440"/>
        </w:tabs>
        <w:ind w:left="1440" w:hanging="360"/>
      </w:pPr>
      <w:rPr>
        <w:rFonts w:ascii="Arial" w:hAnsi="Arial" w:hint="default"/>
      </w:rPr>
    </w:lvl>
    <w:lvl w:ilvl="2" w:tplc="654213A0">
      <w:numFmt w:val="bullet"/>
      <w:lvlText w:val="•"/>
      <w:lvlJc w:val="left"/>
      <w:pPr>
        <w:tabs>
          <w:tab w:val="num" w:pos="2160"/>
        </w:tabs>
        <w:ind w:left="2160" w:hanging="360"/>
      </w:pPr>
      <w:rPr>
        <w:rFonts w:ascii="Arial" w:hAnsi="Arial" w:hint="default"/>
      </w:rPr>
    </w:lvl>
    <w:lvl w:ilvl="3" w:tplc="53F68968" w:tentative="1">
      <w:start w:val="1"/>
      <w:numFmt w:val="bullet"/>
      <w:lvlText w:val="•"/>
      <w:lvlJc w:val="left"/>
      <w:pPr>
        <w:tabs>
          <w:tab w:val="num" w:pos="2880"/>
        </w:tabs>
        <w:ind w:left="2880" w:hanging="360"/>
      </w:pPr>
      <w:rPr>
        <w:rFonts w:ascii="Arial" w:hAnsi="Arial" w:hint="default"/>
      </w:rPr>
    </w:lvl>
    <w:lvl w:ilvl="4" w:tplc="0014712E" w:tentative="1">
      <w:start w:val="1"/>
      <w:numFmt w:val="bullet"/>
      <w:lvlText w:val="•"/>
      <w:lvlJc w:val="left"/>
      <w:pPr>
        <w:tabs>
          <w:tab w:val="num" w:pos="3600"/>
        </w:tabs>
        <w:ind w:left="3600" w:hanging="360"/>
      </w:pPr>
      <w:rPr>
        <w:rFonts w:ascii="Arial" w:hAnsi="Arial" w:hint="default"/>
      </w:rPr>
    </w:lvl>
    <w:lvl w:ilvl="5" w:tplc="95345FE4" w:tentative="1">
      <w:start w:val="1"/>
      <w:numFmt w:val="bullet"/>
      <w:lvlText w:val="•"/>
      <w:lvlJc w:val="left"/>
      <w:pPr>
        <w:tabs>
          <w:tab w:val="num" w:pos="4320"/>
        </w:tabs>
        <w:ind w:left="4320" w:hanging="360"/>
      </w:pPr>
      <w:rPr>
        <w:rFonts w:ascii="Arial" w:hAnsi="Arial" w:hint="default"/>
      </w:rPr>
    </w:lvl>
    <w:lvl w:ilvl="6" w:tplc="27FEB618" w:tentative="1">
      <w:start w:val="1"/>
      <w:numFmt w:val="bullet"/>
      <w:lvlText w:val="•"/>
      <w:lvlJc w:val="left"/>
      <w:pPr>
        <w:tabs>
          <w:tab w:val="num" w:pos="5040"/>
        </w:tabs>
        <w:ind w:left="5040" w:hanging="360"/>
      </w:pPr>
      <w:rPr>
        <w:rFonts w:ascii="Arial" w:hAnsi="Arial" w:hint="default"/>
      </w:rPr>
    </w:lvl>
    <w:lvl w:ilvl="7" w:tplc="488EBE30" w:tentative="1">
      <w:start w:val="1"/>
      <w:numFmt w:val="bullet"/>
      <w:lvlText w:val="•"/>
      <w:lvlJc w:val="left"/>
      <w:pPr>
        <w:tabs>
          <w:tab w:val="num" w:pos="5760"/>
        </w:tabs>
        <w:ind w:left="5760" w:hanging="360"/>
      </w:pPr>
      <w:rPr>
        <w:rFonts w:ascii="Arial" w:hAnsi="Arial" w:hint="default"/>
      </w:rPr>
    </w:lvl>
    <w:lvl w:ilvl="8" w:tplc="C7A6C0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6D7B60"/>
    <w:multiLevelType w:val="hybridMultilevel"/>
    <w:tmpl w:val="AE22CA78"/>
    <w:lvl w:ilvl="0" w:tplc="E0744630">
      <w:start w:val="1"/>
      <w:numFmt w:val="bullet"/>
      <w:lvlText w:val="–"/>
      <w:lvlJc w:val="left"/>
      <w:pPr>
        <w:tabs>
          <w:tab w:val="num" w:pos="720"/>
        </w:tabs>
        <w:ind w:left="720" w:hanging="360"/>
      </w:pPr>
      <w:rPr>
        <w:rFonts w:ascii="Ericsson Capital TT" w:hAnsi="Ericsson Capital TT" w:hint="default"/>
      </w:rPr>
    </w:lvl>
    <w:lvl w:ilvl="1" w:tplc="286C265C">
      <w:start w:val="1"/>
      <w:numFmt w:val="bullet"/>
      <w:lvlText w:val="–"/>
      <w:lvlJc w:val="left"/>
      <w:pPr>
        <w:tabs>
          <w:tab w:val="num" w:pos="1440"/>
        </w:tabs>
        <w:ind w:left="1440" w:hanging="360"/>
      </w:pPr>
      <w:rPr>
        <w:rFonts w:ascii="Ericsson Capital TT" w:hAnsi="Ericsson Capital TT" w:hint="default"/>
      </w:rPr>
    </w:lvl>
    <w:lvl w:ilvl="2" w:tplc="19EA6DB8">
      <w:numFmt w:val="bullet"/>
      <w:lvlText w:val="›"/>
      <w:lvlJc w:val="left"/>
      <w:pPr>
        <w:tabs>
          <w:tab w:val="num" w:pos="2160"/>
        </w:tabs>
        <w:ind w:left="2160" w:hanging="360"/>
      </w:pPr>
      <w:rPr>
        <w:rFonts w:ascii="Ericsson Capital TT" w:hAnsi="Ericsson Capital TT" w:hint="default"/>
      </w:rPr>
    </w:lvl>
    <w:lvl w:ilvl="3" w:tplc="A9A21A16">
      <w:numFmt w:val="bullet"/>
      <w:lvlText w:val="-"/>
      <w:lvlJc w:val="left"/>
      <w:pPr>
        <w:tabs>
          <w:tab w:val="num" w:pos="2880"/>
        </w:tabs>
        <w:ind w:left="2880" w:hanging="360"/>
      </w:pPr>
      <w:rPr>
        <w:rFonts w:ascii="Ericsson Capital TT" w:hAnsi="Ericsson Capital TT" w:hint="default"/>
      </w:rPr>
    </w:lvl>
    <w:lvl w:ilvl="4" w:tplc="369C6BA2" w:tentative="1">
      <w:start w:val="1"/>
      <w:numFmt w:val="bullet"/>
      <w:lvlText w:val="–"/>
      <w:lvlJc w:val="left"/>
      <w:pPr>
        <w:tabs>
          <w:tab w:val="num" w:pos="3600"/>
        </w:tabs>
        <w:ind w:left="3600" w:hanging="360"/>
      </w:pPr>
      <w:rPr>
        <w:rFonts w:ascii="Ericsson Capital TT" w:hAnsi="Ericsson Capital TT" w:hint="default"/>
      </w:rPr>
    </w:lvl>
    <w:lvl w:ilvl="5" w:tplc="BC32573C" w:tentative="1">
      <w:start w:val="1"/>
      <w:numFmt w:val="bullet"/>
      <w:lvlText w:val="–"/>
      <w:lvlJc w:val="left"/>
      <w:pPr>
        <w:tabs>
          <w:tab w:val="num" w:pos="4320"/>
        </w:tabs>
        <w:ind w:left="4320" w:hanging="360"/>
      </w:pPr>
      <w:rPr>
        <w:rFonts w:ascii="Ericsson Capital TT" w:hAnsi="Ericsson Capital TT" w:hint="default"/>
      </w:rPr>
    </w:lvl>
    <w:lvl w:ilvl="6" w:tplc="11A67998" w:tentative="1">
      <w:start w:val="1"/>
      <w:numFmt w:val="bullet"/>
      <w:lvlText w:val="–"/>
      <w:lvlJc w:val="left"/>
      <w:pPr>
        <w:tabs>
          <w:tab w:val="num" w:pos="5040"/>
        </w:tabs>
        <w:ind w:left="5040" w:hanging="360"/>
      </w:pPr>
      <w:rPr>
        <w:rFonts w:ascii="Ericsson Capital TT" w:hAnsi="Ericsson Capital TT" w:hint="default"/>
      </w:rPr>
    </w:lvl>
    <w:lvl w:ilvl="7" w:tplc="3E42C86E" w:tentative="1">
      <w:start w:val="1"/>
      <w:numFmt w:val="bullet"/>
      <w:lvlText w:val="–"/>
      <w:lvlJc w:val="left"/>
      <w:pPr>
        <w:tabs>
          <w:tab w:val="num" w:pos="5760"/>
        </w:tabs>
        <w:ind w:left="5760" w:hanging="360"/>
      </w:pPr>
      <w:rPr>
        <w:rFonts w:ascii="Ericsson Capital TT" w:hAnsi="Ericsson Capital TT" w:hint="default"/>
      </w:rPr>
    </w:lvl>
    <w:lvl w:ilvl="8" w:tplc="BC4C59B6"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C904AE"/>
    <w:multiLevelType w:val="hybridMultilevel"/>
    <w:tmpl w:val="D1A4F5D8"/>
    <w:lvl w:ilvl="0" w:tplc="E48A372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25387F"/>
    <w:multiLevelType w:val="hybridMultilevel"/>
    <w:tmpl w:val="1062E5DC"/>
    <w:lvl w:ilvl="0" w:tplc="3EC435B6">
      <w:start w:val="4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1"/>
  </w:num>
  <w:num w:numId="4">
    <w:abstractNumId w:val="23"/>
  </w:num>
  <w:num w:numId="5">
    <w:abstractNumId w:val="18"/>
  </w:num>
  <w:num w:numId="6">
    <w:abstractNumId w:val="25"/>
  </w:num>
  <w:num w:numId="7">
    <w:abstractNumId w:val="31"/>
  </w:num>
  <w:num w:numId="8">
    <w:abstractNumId w:val="19"/>
  </w:num>
  <w:num w:numId="9">
    <w:abstractNumId w:val="28"/>
  </w:num>
  <w:num w:numId="10">
    <w:abstractNumId w:val="34"/>
  </w:num>
  <w:num w:numId="11">
    <w:abstractNumId w:val="21"/>
    <w:lvlOverride w:ilvl="0">
      <w:startOverride w:val="1"/>
    </w:lvlOverride>
  </w:num>
  <w:num w:numId="12">
    <w:abstractNumId w:val="35"/>
  </w:num>
  <w:num w:numId="13">
    <w:abstractNumId w:val="38"/>
  </w:num>
  <w:num w:numId="14">
    <w:abstractNumId w:val="32"/>
  </w:num>
  <w:num w:numId="15">
    <w:abstractNumId w:val="20"/>
  </w:num>
  <w:num w:numId="16">
    <w:abstractNumId w:val="36"/>
  </w:num>
  <w:num w:numId="17">
    <w:abstractNumId w:val="10"/>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1"/>
    <w:lvlOverride w:ilvl="0">
      <w:startOverride w:val="1"/>
    </w:lvlOverride>
  </w:num>
  <w:num w:numId="22">
    <w:abstractNumId w:val="17"/>
  </w:num>
  <w:num w:numId="23">
    <w:abstractNumId w:val="2"/>
  </w:num>
  <w:num w:numId="24">
    <w:abstractNumId w:val="1"/>
  </w:num>
  <w:num w:numId="25">
    <w:abstractNumId w:val="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28"/>
  </w:num>
  <w:num w:numId="34">
    <w:abstractNumId w:val="26"/>
  </w:num>
  <w:num w:numId="35">
    <w:abstractNumId w:val="28"/>
  </w:num>
  <w:num w:numId="36">
    <w:abstractNumId w:val="7"/>
  </w:num>
  <w:num w:numId="37">
    <w:abstractNumId w:val="11"/>
  </w:num>
  <w:num w:numId="38">
    <w:abstractNumId w:val="30"/>
  </w:num>
  <w:num w:numId="39">
    <w:abstractNumId w:val="6"/>
  </w:num>
  <w:num w:numId="40">
    <w:abstractNumId w:val="29"/>
  </w:num>
  <w:num w:numId="41">
    <w:abstractNumId w:val="14"/>
  </w:num>
  <w:num w:numId="42">
    <w:abstractNumId w:val="12"/>
  </w:num>
  <w:num w:numId="43">
    <w:abstractNumId w:val="8"/>
  </w:num>
  <w:num w:numId="44">
    <w:abstractNumId w:val="16"/>
  </w:num>
  <w:num w:numId="45">
    <w:abstractNumId w:val="27"/>
  </w:num>
  <w:num w:numId="46">
    <w:abstractNumId w:val="24"/>
  </w:num>
  <w:num w:numId="47">
    <w:abstractNumId w:val="22"/>
  </w:num>
  <w:num w:numId="48">
    <w:abstractNumId w:val="13"/>
  </w:num>
  <w:num w:numId="49">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i-FI"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07"/>
    <w:rsid w:val="000006E1"/>
    <w:rsid w:val="00002A37"/>
    <w:rsid w:val="000030C2"/>
    <w:rsid w:val="000044B0"/>
    <w:rsid w:val="00005EAC"/>
    <w:rsid w:val="00006446"/>
    <w:rsid w:val="00006896"/>
    <w:rsid w:val="00006B58"/>
    <w:rsid w:val="000072B5"/>
    <w:rsid w:val="00007CDC"/>
    <w:rsid w:val="00010397"/>
    <w:rsid w:val="00010E3F"/>
    <w:rsid w:val="00011B28"/>
    <w:rsid w:val="000144B9"/>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7117"/>
    <w:rsid w:val="0006072A"/>
    <w:rsid w:val="000616E7"/>
    <w:rsid w:val="00062940"/>
    <w:rsid w:val="0006487E"/>
    <w:rsid w:val="00065E1A"/>
    <w:rsid w:val="000705C3"/>
    <w:rsid w:val="00072023"/>
    <w:rsid w:val="00077E5F"/>
    <w:rsid w:val="0008036A"/>
    <w:rsid w:val="00080DCB"/>
    <w:rsid w:val="000817A2"/>
    <w:rsid w:val="00081AE6"/>
    <w:rsid w:val="00081D62"/>
    <w:rsid w:val="00082E7B"/>
    <w:rsid w:val="000855EB"/>
    <w:rsid w:val="00085B52"/>
    <w:rsid w:val="00085CCC"/>
    <w:rsid w:val="000866F2"/>
    <w:rsid w:val="0009009F"/>
    <w:rsid w:val="00091557"/>
    <w:rsid w:val="000924C1"/>
    <w:rsid w:val="000924F0"/>
    <w:rsid w:val="000928F5"/>
    <w:rsid w:val="00092A72"/>
    <w:rsid w:val="00093474"/>
    <w:rsid w:val="0009510F"/>
    <w:rsid w:val="000A0CA2"/>
    <w:rsid w:val="000A1B7B"/>
    <w:rsid w:val="000A335B"/>
    <w:rsid w:val="000A4CE1"/>
    <w:rsid w:val="000A51FE"/>
    <w:rsid w:val="000A56F2"/>
    <w:rsid w:val="000B010B"/>
    <w:rsid w:val="000B16A6"/>
    <w:rsid w:val="000B2719"/>
    <w:rsid w:val="000B387D"/>
    <w:rsid w:val="000B3A8F"/>
    <w:rsid w:val="000B4AB9"/>
    <w:rsid w:val="000B58C3"/>
    <w:rsid w:val="000B61E9"/>
    <w:rsid w:val="000C165A"/>
    <w:rsid w:val="000C2E19"/>
    <w:rsid w:val="000C4A0C"/>
    <w:rsid w:val="000C4E7C"/>
    <w:rsid w:val="000C6BC7"/>
    <w:rsid w:val="000D05E3"/>
    <w:rsid w:val="000D0D07"/>
    <w:rsid w:val="000D1B45"/>
    <w:rsid w:val="000D1F47"/>
    <w:rsid w:val="000D3135"/>
    <w:rsid w:val="000D326B"/>
    <w:rsid w:val="000D32A1"/>
    <w:rsid w:val="000D4797"/>
    <w:rsid w:val="000D6D72"/>
    <w:rsid w:val="000D7FFD"/>
    <w:rsid w:val="000E0527"/>
    <w:rsid w:val="000E0FD3"/>
    <w:rsid w:val="000E1E92"/>
    <w:rsid w:val="000E2897"/>
    <w:rsid w:val="000E461A"/>
    <w:rsid w:val="000E5E60"/>
    <w:rsid w:val="000E6FCA"/>
    <w:rsid w:val="000F06D6"/>
    <w:rsid w:val="000F0EB1"/>
    <w:rsid w:val="000F1106"/>
    <w:rsid w:val="000F3BE9"/>
    <w:rsid w:val="000F3F6C"/>
    <w:rsid w:val="000F6A1E"/>
    <w:rsid w:val="000F6DF3"/>
    <w:rsid w:val="000F6ED7"/>
    <w:rsid w:val="001005FF"/>
    <w:rsid w:val="001062FB"/>
    <w:rsid w:val="001063E6"/>
    <w:rsid w:val="00110B33"/>
    <w:rsid w:val="00110B46"/>
    <w:rsid w:val="00113CF4"/>
    <w:rsid w:val="001153EA"/>
    <w:rsid w:val="00115643"/>
    <w:rsid w:val="00116765"/>
    <w:rsid w:val="00120CD4"/>
    <w:rsid w:val="001218A3"/>
    <w:rsid w:val="001219F5"/>
    <w:rsid w:val="00121A20"/>
    <w:rsid w:val="00122F2E"/>
    <w:rsid w:val="0012377F"/>
    <w:rsid w:val="00124314"/>
    <w:rsid w:val="00126B4A"/>
    <w:rsid w:val="0013227B"/>
    <w:rsid w:val="00132FD0"/>
    <w:rsid w:val="00133D3A"/>
    <w:rsid w:val="001344C0"/>
    <w:rsid w:val="001346FA"/>
    <w:rsid w:val="00135252"/>
    <w:rsid w:val="00137AB5"/>
    <w:rsid w:val="00137F0B"/>
    <w:rsid w:val="00144FC4"/>
    <w:rsid w:val="00145091"/>
    <w:rsid w:val="0014650D"/>
    <w:rsid w:val="00151E23"/>
    <w:rsid w:val="001526E0"/>
    <w:rsid w:val="001551B5"/>
    <w:rsid w:val="00157718"/>
    <w:rsid w:val="00164273"/>
    <w:rsid w:val="001643A8"/>
    <w:rsid w:val="001659C1"/>
    <w:rsid w:val="00173995"/>
    <w:rsid w:val="00173A8E"/>
    <w:rsid w:val="001744E3"/>
    <w:rsid w:val="00177795"/>
    <w:rsid w:val="0018143F"/>
    <w:rsid w:val="001831FB"/>
    <w:rsid w:val="00183EE0"/>
    <w:rsid w:val="00185DCF"/>
    <w:rsid w:val="00190AC1"/>
    <w:rsid w:val="0019242C"/>
    <w:rsid w:val="0019275A"/>
    <w:rsid w:val="0019332E"/>
    <w:rsid w:val="0019341A"/>
    <w:rsid w:val="00194A27"/>
    <w:rsid w:val="001959B4"/>
    <w:rsid w:val="00196297"/>
    <w:rsid w:val="00196B5E"/>
    <w:rsid w:val="00197DF9"/>
    <w:rsid w:val="001A1987"/>
    <w:rsid w:val="001A2564"/>
    <w:rsid w:val="001A271F"/>
    <w:rsid w:val="001A2D48"/>
    <w:rsid w:val="001A33B8"/>
    <w:rsid w:val="001A4386"/>
    <w:rsid w:val="001A6173"/>
    <w:rsid w:val="001A6CBA"/>
    <w:rsid w:val="001A772B"/>
    <w:rsid w:val="001B0D97"/>
    <w:rsid w:val="001B148F"/>
    <w:rsid w:val="001B156B"/>
    <w:rsid w:val="001B1F20"/>
    <w:rsid w:val="001B2C40"/>
    <w:rsid w:val="001B4D93"/>
    <w:rsid w:val="001B4F83"/>
    <w:rsid w:val="001B5A5D"/>
    <w:rsid w:val="001B5D49"/>
    <w:rsid w:val="001B61B3"/>
    <w:rsid w:val="001C1CE5"/>
    <w:rsid w:val="001C2EB0"/>
    <w:rsid w:val="001C3D2A"/>
    <w:rsid w:val="001C6495"/>
    <w:rsid w:val="001D0271"/>
    <w:rsid w:val="001D274A"/>
    <w:rsid w:val="001D51BA"/>
    <w:rsid w:val="001D5CF7"/>
    <w:rsid w:val="001D6342"/>
    <w:rsid w:val="001D6AB3"/>
    <w:rsid w:val="001D6D53"/>
    <w:rsid w:val="001D6E91"/>
    <w:rsid w:val="001E0A77"/>
    <w:rsid w:val="001E310E"/>
    <w:rsid w:val="001E58E2"/>
    <w:rsid w:val="001E680D"/>
    <w:rsid w:val="001E7AED"/>
    <w:rsid w:val="001F0CDB"/>
    <w:rsid w:val="001F3916"/>
    <w:rsid w:val="001F54C5"/>
    <w:rsid w:val="001F57CF"/>
    <w:rsid w:val="001F5C52"/>
    <w:rsid w:val="001F662C"/>
    <w:rsid w:val="001F6A33"/>
    <w:rsid w:val="001F7074"/>
    <w:rsid w:val="001F72FE"/>
    <w:rsid w:val="001F74A2"/>
    <w:rsid w:val="00200490"/>
    <w:rsid w:val="00201F3A"/>
    <w:rsid w:val="00203016"/>
    <w:rsid w:val="00203F96"/>
    <w:rsid w:val="00204372"/>
    <w:rsid w:val="002069B2"/>
    <w:rsid w:val="0020759B"/>
    <w:rsid w:val="00207FA3"/>
    <w:rsid w:val="00210B7F"/>
    <w:rsid w:val="002113AD"/>
    <w:rsid w:val="00214DA8"/>
    <w:rsid w:val="002153DF"/>
    <w:rsid w:val="00215423"/>
    <w:rsid w:val="002158FA"/>
    <w:rsid w:val="00216201"/>
    <w:rsid w:val="002164B8"/>
    <w:rsid w:val="002176CE"/>
    <w:rsid w:val="00220600"/>
    <w:rsid w:val="002224DB"/>
    <w:rsid w:val="00223FCB"/>
    <w:rsid w:val="00224540"/>
    <w:rsid w:val="002252C3"/>
    <w:rsid w:val="00225C54"/>
    <w:rsid w:val="00230765"/>
    <w:rsid w:val="0023085B"/>
    <w:rsid w:val="00231011"/>
    <w:rsid w:val="002319E4"/>
    <w:rsid w:val="00233540"/>
    <w:rsid w:val="00234FBD"/>
    <w:rsid w:val="00235632"/>
    <w:rsid w:val="00235872"/>
    <w:rsid w:val="002359E6"/>
    <w:rsid w:val="00241559"/>
    <w:rsid w:val="00242F1F"/>
    <w:rsid w:val="002435B3"/>
    <w:rsid w:val="002458EB"/>
    <w:rsid w:val="002500C8"/>
    <w:rsid w:val="00250546"/>
    <w:rsid w:val="00256DAD"/>
    <w:rsid w:val="00257543"/>
    <w:rsid w:val="00257969"/>
    <w:rsid w:val="00257C9E"/>
    <w:rsid w:val="00257ED5"/>
    <w:rsid w:val="002617E7"/>
    <w:rsid w:val="00261FC8"/>
    <w:rsid w:val="00262E81"/>
    <w:rsid w:val="00264228"/>
    <w:rsid w:val="00264334"/>
    <w:rsid w:val="0026473E"/>
    <w:rsid w:val="00265C34"/>
    <w:rsid w:val="00266214"/>
    <w:rsid w:val="00266D31"/>
    <w:rsid w:val="00267C83"/>
    <w:rsid w:val="0027028B"/>
    <w:rsid w:val="002705DE"/>
    <w:rsid w:val="0027144F"/>
    <w:rsid w:val="00271F3A"/>
    <w:rsid w:val="00272FA1"/>
    <w:rsid w:val="00273278"/>
    <w:rsid w:val="002737F4"/>
    <w:rsid w:val="002805F5"/>
    <w:rsid w:val="00280751"/>
    <w:rsid w:val="0028280A"/>
    <w:rsid w:val="00283836"/>
    <w:rsid w:val="00283C38"/>
    <w:rsid w:val="002857FC"/>
    <w:rsid w:val="00286ACD"/>
    <w:rsid w:val="00287838"/>
    <w:rsid w:val="002907B5"/>
    <w:rsid w:val="00291562"/>
    <w:rsid w:val="00291B6E"/>
    <w:rsid w:val="00292EB7"/>
    <w:rsid w:val="00296227"/>
    <w:rsid w:val="00296F44"/>
    <w:rsid w:val="002974BA"/>
    <w:rsid w:val="0029776A"/>
    <w:rsid w:val="0029777D"/>
    <w:rsid w:val="00297E58"/>
    <w:rsid w:val="002A055E"/>
    <w:rsid w:val="002A0674"/>
    <w:rsid w:val="002A1D4E"/>
    <w:rsid w:val="002A2869"/>
    <w:rsid w:val="002A3BF3"/>
    <w:rsid w:val="002A5CC8"/>
    <w:rsid w:val="002B0D3E"/>
    <w:rsid w:val="002B0FBC"/>
    <w:rsid w:val="002B223F"/>
    <w:rsid w:val="002B24D6"/>
    <w:rsid w:val="002B34C5"/>
    <w:rsid w:val="002B688A"/>
    <w:rsid w:val="002B702D"/>
    <w:rsid w:val="002C1899"/>
    <w:rsid w:val="002C41E6"/>
    <w:rsid w:val="002C5255"/>
    <w:rsid w:val="002C7835"/>
    <w:rsid w:val="002C7C8F"/>
    <w:rsid w:val="002D071A"/>
    <w:rsid w:val="002D1E43"/>
    <w:rsid w:val="002D34B2"/>
    <w:rsid w:val="002D5DEF"/>
    <w:rsid w:val="002D6769"/>
    <w:rsid w:val="002D7637"/>
    <w:rsid w:val="002E17F2"/>
    <w:rsid w:val="002E3EA2"/>
    <w:rsid w:val="002E67D4"/>
    <w:rsid w:val="002E7CAE"/>
    <w:rsid w:val="002F047E"/>
    <w:rsid w:val="002F0BA2"/>
    <w:rsid w:val="002F2734"/>
    <w:rsid w:val="002F2771"/>
    <w:rsid w:val="002F37A9"/>
    <w:rsid w:val="002F4CD7"/>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203ED"/>
    <w:rsid w:val="00321307"/>
    <w:rsid w:val="00322C9F"/>
    <w:rsid w:val="00324D23"/>
    <w:rsid w:val="00326A65"/>
    <w:rsid w:val="00330666"/>
    <w:rsid w:val="00331751"/>
    <w:rsid w:val="00332E7E"/>
    <w:rsid w:val="00332FCD"/>
    <w:rsid w:val="00334579"/>
    <w:rsid w:val="00334AF2"/>
    <w:rsid w:val="00335858"/>
    <w:rsid w:val="00336BDA"/>
    <w:rsid w:val="00336DAC"/>
    <w:rsid w:val="00337160"/>
    <w:rsid w:val="00342BD7"/>
    <w:rsid w:val="00343A07"/>
    <w:rsid w:val="0034475E"/>
    <w:rsid w:val="00346DB5"/>
    <w:rsid w:val="00347296"/>
    <w:rsid w:val="003477B1"/>
    <w:rsid w:val="003502F0"/>
    <w:rsid w:val="00350DD4"/>
    <w:rsid w:val="00351647"/>
    <w:rsid w:val="00351953"/>
    <w:rsid w:val="0035482C"/>
    <w:rsid w:val="00357380"/>
    <w:rsid w:val="003602D9"/>
    <w:rsid w:val="003604CE"/>
    <w:rsid w:val="0036137D"/>
    <w:rsid w:val="0036433B"/>
    <w:rsid w:val="00367F1E"/>
    <w:rsid w:val="00370137"/>
    <w:rsid w:val="00370E47"/>
    <w:rsid w:val="00370E5F"/>
    <w:rsid w:val="00372D42"/>
    <w:rsid w:val="00373987"/>
    <w:rsid w:val="003742AC"/>
    <w:rsid w:val="00377CE1"/>
    <w:rsid w:val="003806FB"/>
    <w:rsid w:val="00381171"/>
    <w:rsid w:val="00382598"/>
    <w:rsid w:val="00385BF0"/>
    <w:rsid w:val="003939FF"/>
    <w:rsid w:val="003A052C"/>
    <w:rsid w:val="003A20D7"/>
    <w:rsid w:val="003A2223"/>
    <w:rsid w:val="003A2A0F"/>
    <w:rsid w:val="003A2DA1"/>
    <w:rsid w:val="003A3C87"/>
    <w:rsid w:val="003A45A1"/>
    <w:rsid w:val="003A5877"/>
    <w:rsid w:val="003A5B0A"/>
    <w:rsid w:val="003A6BAC"/>
    <w:rsid w:val="003A7EF3"/>
    <w:rsid w:val="003B1175"/>
    <w:rsid w:val="003B159C"/>
    <w:rsid w:val="003B369F"/>
    <w:rsid w:val="003B36A3"/>
    <w:rsid w:val="003B46C4"/>
    <w:rsid w:val="003B59CA"/>
    <w:rsid w:val="003B7FE5"/>
    <w:rsid w:val="003C11C8"/>
    <w:rsid w:val="003C14A6"/>
    <w:rsid w:val="003C2702"/>
    <w:rsid w:val="003C306E"/>
    <w:rsid w:val="003C5162"/>
    <w:rsid w:val="003C590A"/>
    <w:rsid w:val="003C7806"/>
    <w:rsid w:val="003D109F"/>
    <w:rsid w:val="003D139F"/>
    <w:rsid w:val="003D2477"/>
    <w:rsid w:val="003D2478"/>
    <w:rsid w:val="003D2FC4"/>
    <w:rsid w:val="003D3C45"/>
    <w:rsid w:val="003D5B1F"/>
    <w:rsid w:val="003E060F"/>
    <w:rsid w:val="003E15FA"/>
    <w:rsid w:val="003E55E4"/>
    <w:rsid w:val="003E74E3"/>
    <w:rsid w:val="003E7B80"/>
    <w:rsid w:val="003F01DB"/>
    <w:rsid w:val="003F05C7"/>
    <w:rsid w:val="003F0A76"/>
    <w:rsid w:val="003F11B0"/>
    <w:rsid w:val="003F1F62"/>
    <w:rsid w:val="003F2CD4"/>
    <w:rsid w:val="003F36AD"/>
    <w:rsid w:val="003F6BBE"/>
    <w:rsid w:val="003F6D81"/>
    <w:rsid w:val="004000E8"/>
    <w:rsid w:val="00400165"/>
    <w:rsid w:val="0040200D"/>
    <w:rsid w:val="0040236A"/>
    <w:rsid w:val="00402B7E"/>
    <w:rsid w:val="00402E2B"/>
    <w:rsid w:val="004042F3"/>
    <w:rsid w:val="0040512B"/>
    <w:rsid w:val="00405CA5"/>
    <w:rsid w:val="00407CD3"/>
    <w:rsid w:val="00410134"/>
    <w:rsid w:val="00410603"/>
    <w:rsid w:val="00410B72"/>
    <w:rsid w:val="00410F18"/>
    <w:rsid w:val="00411A00"/>
    <w:rsid w:val="0041263E"/>
    <w:rsid w:val="00412BC6"/>
    <w:rsid w:val="00413AAC"/>
    <w:rsid w:val="004158C2"/>
    <w:rsid w:val="004201BE"/>
    <w:rsid w:val="00421105"/>
    <w:rsid w:val="00422770"/>
    <w:rsid w:val="0042357A"/>
    <w:rsid w:val="00423C43"/>
    <w:rsid w:val="004242F4"/>
    <w:rsid w:val="00427248"/>
    <w:rsid w:val="004320C5"/>
    <w:rsid w:val="00437447"/>
    <w:rsid w:val="004412DD"/>
    <w:rsid w:val="00441A92"/>
    <w:rsid w:val="0044329C"/>
    <w:rsid w:val="00444F56"/>
    <w:rsid w:val="00446488"/>
    <w:rsid w:val="004517AA"/>
    <w:rsid w:val="00452CAC"/>
    <w:rsid w:val="00454806"/>
    <w:rsid w:val="00455AD1"/>
    <w:rsid w:val="00457565"/>
    <w:rsid w:val="00457B71"/>
    <w:rsid w:val="004603F5"/>
    <w:rsid w:val="00465F3A"/>
    <w:rsid w:val="0046626A"/>
    <w:rsid w:val="004669E2"/>
    <w:rsid w:val="00470C31"/>
    <w:rsid w:val="004719D6"/>
    <w:rsid w:val="004734D0"/>
    <w:rsid w:val="0047556B"/>
    <w:rsid w:val="00477768"/>
    <w:rsid w:val="00485A23"/>
    <w:rsid w:val="00492BC5"/>
    <w:rsid w:val="004964F1"/>
    <w:rsid w:val="004A0199"/>
    <w:rsid w:val="004A07A0"/>
    <w:rsid w:val="004A16BC"/>
    <w:rsid w:val="004A2B94"/>
    <w:rsid w:val="004A72AC"/>
    <w:rsid w:val="004A7A8C"/>
    <w:rsid w:val="004B0925"/>
    <w:rsid w:val="004B7C0C"/>
    <w:rsid w:val="004C1B75"/>
    <w:rsid w:val="004C2F28"/>
    <w:rsid w:val="004C3898"/>
    <w:rsid w:val="004C3AA9"/>
    <w:rsid w:val="004C41AE"/>
    <w:rsid w:val="004D1126"/>
    <w:rsid w:val="004D36B1"/>
    <w:rsid w:val="004D3A37"/>
    <w:rsid w:val="004D3C8B"/>
    <w:rsid w:val="004D6406"/>
    <w:rsid w:val="004D7EBD"/>
    <w:rsid w:val="004E053A"/>
    <w:rsid w:val="004E0F74"/>
    <w:rsid w:val="004E2680"/>
    <w:rsid w:val="004E28F9"/>
    <w:rsid w:val="004E3A99"/>
    <w:rsid w:val="004E462E"/>
    <w:rsid w:val="004E56DC"/>
    <w:rsid w:val="004E76F4"/>
    <w:rsid w:val="004F0B4E"/>
    <w:rsid w:val="004F0B6C"/>
    <w:rsid w:val="004F2078"/>
    <w:rsid w:val="004F4DA3"/>
    <w:rsid w:val="004F62A7"/>
    <w:rsid w:val="00500C2E"/>
    <w:rsid w:val="00502255"/>
    <w:rsid w:val="005032AF"/>
    <w:rsid w:val="00506557"/>
    <w:rsid w:val="0050677A"/>
    <w:rsid w:val="005108D8"/>
    <w:rsid w:val="005116F9"/>
    <w:rsid w:val="00514F48"/>
    <w:rsid w:val="005153A7"/>
    <w:rsid w:val="00517DC6"/>
    <w:rsid w:val="00520803"/>
    <w:rsid w:val="005219CF"/>
    <w:rsid w:val="00523909"/>
    <w:rsid w:val="00523EA0"/>
    <w:rsid w:val="0052428F"/>
    <w:rsid w:val="00524688"/>
    <w:rsid w:val="00527DC6"/>
    <w:rsid w:val="005311B5"/>
    <w:rsid w:val="00534B59"/>
    <w:rsid w:val="00536759"/>
    <w:rsid w:val="00537C62"/>
    <w:rsid w:val="00546970"/>
    <w:rsid w:val="005501C2"/>
    <w:rsid w:val="00551BA0"/>
    <w:rsid w:val="005525C4"/>
    <w:rsid w:val="00552C46"/>
    <w:rsid w:val="00554E19"/>
    <w:rsid w:val="00555349"/>
    <w:rsid w:val="0055635A"/>
    <w:rsid w:val="00557108"/>
    <w:rsid w:val="0055719E"/>
    <w:rsid w:val="0056121F"/>
    <w:rsid w:val="00561D45"/>
    <w:rsid w:val="00563637"/>
    <w:rsid w:val="005671A7"/>
    <w:rsid w:val="00570D86"/>
    <w:rsid w:val="00572505"/>
    <w:rsid w:val="0058167F"/>
    <w:rsid w:val="00581993"/>
    <w:rsid w:val="00582809"/>
    <w:rsid w:val="0058318F"/>
    <w:rsid w:val="0058342B"/>
    <w:rsid w:val="0058798C"/>
    <w:rsid w:val="005900FA"/>
    <w:rsid w:val="005935A4"/>
    <w:rsid w:val="005948C2"/>
    <w:rsid w:val="00595DCA"/>
    <w:rsid w:val="005973B4"/>
    <w:rsid w:val="0059779B"/>
    <w:rsid w:val="005A17CF"/>
    <w:rsid w:val="005A209A"/>
    <w:rsid w:val="005A2C57"/>
    <w:rsid w:val="005A3A02"/>
    <w:rsid w:val="005A55EA"/>
    <w:rsid w:val="005A662D"/>
    <w:rsid w:val="005A77B9"/>
    <w:rsid w:val="005B0319"/>
    <w:rsid w:val="005B25AE"/>
    <w:rsid w:val="005B287F"/>
    <w:rsid w:val="005B35D7"/>
    <w:rsid w:val="005B392A"/>
    <w:rsid w:val="005B3AA3"/>
    <w:rsid w:val="005B5A15"/>
    <w:rsid w:val="005B5AFE"/>
    <w:rsid w:val="005B606C"/>
    <w:rsid w:val="005B64C3"/>
    <w:rsid w:val="005B6F83"/>
    <w:rsid w:val="005B7620"/>
    <w:rsid w:val="005C0B23"/>
    <w:rsid w:val="005C1BA7"/>
    <w:rsid w:val="005C3333"/>
    <w:rsid w:val="005C74FB"/>
    <w:rsid w:val="005D1602"/>
    <w:rsid w:val="005D1AFD"/>
    <w:rsid w:val="005D5B80"/>
    <w:rsid w:val="005D5BB7"/>
    <w:rsid w:val="005D7E92"/>
    <w:rsid w:val="005E2BAF"/>
    <w:rsid w:val="005E3220"/>
    <w:rsid w:val="005E385F"/>
    <w:rsid w:val="005E3B53"/>
    <w:rsid w:val="005E3C1B"/>
    <w:rsid w:val="005E52CB"/>
    <w:rsid w:val="005E5B81"/>
    <w:rsid w:val="005E6827"/>
    <w:rsid w:val="005E7631"/>
    <w:rsid w:val="005F11AB"/>
    <w:rsid w:val="005F2897"/>
    <w:rsid w:val="005F2CB1"/>
    <w:rsid w:val="005F3025"/>
    <w:rsid w:val="005F34FB"/>
    <w:rsid w:val="005F4070"/>
    <w:rsid w:val="005F4B1D"/>
    <w:rsid w:val="005F618C"/>
    <w:rsid w:val="005F70BD"/>
    <w:rsid w:val="0060283C"/>
    <w:rsid w:val="0060316E"/>
    <w:rsid w:val="00603CAF"/>
    <w:rsid w:val="00604D02"/>
    <w:rsid w:val="00604F14"/>
    <w:rsid w:val="00605F62"/>
    <w:rsid w:val="00611B83"/>
    <w:rsid w:val="00613257"/>
    <w:rsid w:val="0061724A"/>
    <w:rsid w:val="00617A18"/>
    <w:rsid w:val="00617BED"/>
    <w:rsid w:val="00620A71"/>
    <w:rsid w:val="00620D80"/>
    <w:rsid w:val="00622502"/>
    <w:rsid w:val="006234A6"/>
    <w:rsid w:val="0062491B"/>
    <w:rsid w:val="00624D23"/>
    <w:rsid w:val="00626A93"/>
    <w:rsid w:val="006279C4"/>
    <w:rsid w:val="00630001"/>
    <w:rsid w:val="00630CCE"/>
    <w:rsid w:val="00631139"/>
    <w:rsid w:val="006311B3"/>
    <w:rsid w:val="006316E1"/>
    <w:rsid w:val="0063284C"/>
    <w:rsid w:val="00636398"/>
    <w:rsid w:val="006368D3"/>
    <w:rsid w:val="006377EC"/>
    <w:rsid w:val="0063792B"/>
    <w:rsid w:val="0064090E"/>
    <w:rsid w:val="00640BD3"/>
    <w:rsid w:val="0064151F"/>
    <w:rsid w:val="00641533"/>
    <w:rsid w:val="0064208D"/>
    <w:rsid w:val="006425C6"/>
    <w:rsid w:val="00643475"/>
    <w:rsid w:val="0064396A"/>
    <w:rsid w:val="0064624E"/>
    <w:rsid w:val="006465BC"/>
    <w:rsid w:val="00650AB9"/>
    <w:rsid w:val="00655466"/>
    <w:rsid w:val="00655733"/>
    <w:rsid w:val="00655A22"/>
    <w:rsid w:val="00655ACD"/>
    <w:rsid w:val="00656A2E"/>
    <w:rsid w:val="00656A92"/>
    <w:rsid w:val="00656DDE"/>
    <w:rsid w:val="0066011D"/>
    <w:rsid w:val="006607C0"/>
    <w:rsid w:val="006613A6"/>
    <w:rsid w:val="006627A2"/>
    <w:rsid w:val="006634E6"/>
    <w:rsid w:val="00663686"/>
    <w:rsid w:val="006655EE"/>
    <w:rsid w:val="00667EE7"/>
    <w:rsid w:val="00670922"/>
    <w:rsid w:val="00670BE1"/>
    <w:rsid w:val="00671C47"/>
    <w:rsid w:val="0067218F"/>
    <w:rsid w:val="006741F2"/>
    <w:rsid w:val="00674A25"/>
    <w:rsid w:val="00674CC3"/>
    <w:rsid w:val="00675C72"/>
    <w:rsid w:val="00675F65"/>
    <w:rsid w:val="006771F9"/>
    <w:rsid w:val="006776D7"/>
    <w:rsid w:val="00681003"/>
    <w:rsid w:val="006817C9"/>
    <w:rsid w:val="006835E3"/>
    <w:rsid w:val="00683ECE"/>
    <w:rsid w:val="0069133C"/>
    <w:rsid w:val="006934A8"/>
    <w:rsid w:val="006938BB"/>
    <w:rsid w:val="00695FC2"/>
    <w:rsid w:val="00696949"/>
    <w:rsid w:val="00697052"/>
    <w:rsid w:val="006974A0"/>
    <w:rsid w:val="006A1E71"/>
    <w:rsid w:val="006A3F40"/>
    <w:rsid w:val="006A46FB"/>
    <w:rsid w:val="006A5E28"/>
    <w:rsid w:val="006A697B"/>
    <w:rsid w:val="006A7AFF"/>
    <w:rsid w:val="006B1816"/>
    <w:rsid w:val="006B1A39"/>
    <w:rsid w:val="006B2099"/>
    <w:rsid w:val="006B30AF"/>
    <w:rsid w:val="006B39F6"/>
    <w:rsid w:val="006B50CF"/>
    <w:rsid w:val="006B6560"/>
    <w:rsid w:val="006C03B8"/>
    <w:rsid w:val="006C25DD"/>
    <w:rsid w:val="006C5EC9"/>
    <w:rsid w:val="006C6059"/>
    <w:rsid w:val="006C701E"/>
    <w:rsid w:val="006C7391"/>
    <w:rsid w:val="006C7522"/>
    <w:rsid w:val="006D3EEF"/>
    <w:rsid w:val="006D6F08"/>
    <w:rsid w:val="006E062C"/>
    <w:rsid w:val="006E28B7"/>
    <w:rsid w:val="006E3310"/>
    <w:rsid w:val="006E4C28"/>
    <w:rsid w:val="006E4E39"/>
    <w:rsid w:val="006E565E"/>
    <w:rsid w:val="006E673D"/>
    <w:rsid w:val="006E7D3B"/>
    <w:rsid w:val="006F1B70"/>
    <w:rsid w:val="006F341D"/>
    <w:rsid w:val="006F3CDE"/>
    <w:rsid w:val="006F58D4"/>
    <w:rsid w:val="007001F0"/>
    <w:rsid w:val="007032B8"/>
    <w:rsid w:val="0070346E"/>
    <w:rsid w:val="00704EDB"/>
    <w:rsid w:val="0070537F"/>
    <w:rsid w:val="00705BC2"/>
    <w:rsid w:val="00705C78"/>
    <w:rsid w:val="00706101"/>
    <w:rsid w:val="00707072"/>
    <w:rsid w:val="007075A7"/>
    <w:rsid w:val="00707D61"/>
    <w:rsid w:val="00711C83"/>
    <w:rsid w:val="00712287"/>
    <w:rsid w:val="00712772"/>
    <w:rsid w:val="00713470"/>
    <w:rsid w:val="007148D3"/>
    <w:rsid w:val="00715648"/>
    <w:rsid w:val="00715B9A"/>
    <w:rsid w:val="00715DF1"/>
    <w:rsid w:val="0071636B"/>
    <w:rsid w:val="007200F3"/>
    <w:rsid w:val="00721593"/>
    <w:rsid w:val="00724E76"/>
    <w:rsid w:val="0072595C"/>
    <w:rsid w:val="00726EA6"/>
    <w:rsid w:val="00727208"/>
    <w:rsid w:val="00727680"/>
    <w:rsid w:val="00727F0A"/>
    <w:rsid w:val="00727F9E"/>
    <w:rsid w:val="0073229F"/>
    <w:rsid w:val="00733C46"/>
    <w:rsid w:val="007348B1"/>
    <w:rsid w:val="00734B23"/>
    <w:rsid w:val="00734F0A"/>
    <w:rsid w:val="007362A6"/>
    <w:rsid w:val="00736D7D"/>
    <w:rsid w:val="007372E2"/>
    <w:rsid w:val="00737922"/>
    <w:rsid w:val="007403BD"/>
    <w:rsid w:val="00740E58"/>
    <w:rsid w:val="00742E7B"/>
    <w:rsid w:val="007445A0"/>
    <w:rsid w:val="0074524B"/>
    <w:rsid w:val="00747BA2"/>
    <w:rsid w:val="00747D8B"/>
    <w:rsid w:val="00751228"/>
    <w:rsid w:val="00751613"/>
    <w:rsid w:val="00752C9C"/>
    <w:rsid w:val="00754E56"/>
    <w:rsid w:val="00755562"/>
    <w:rsid w:val="00755CB6"/>
    <w:rsid w:val="007560C0"/>
    <w:rsid w:val="007571E1"/>
    <w:rsid w:val="00760043"/>
    <w:rsid w:val="007604B2"/>
    <w:rsid w:val="007607BF"/>
    <w:rsid w:val="00765281"/>
    <w:rsid w:val="00766BAD"/>
    <w:rsid w:val="007730BD"/>
    <w:rsid w:val="00773D09"/>
    <w:rsid w:val="00774743"/>
    <w:rsid w:val="007755F2"/>
    <w:rsid w:val="0077666A"/>
    <w:rsid w:val="00776971"/>
    <w:rsid w:val="0078008D"/>
    <w:rsid w:val="0078020D"/>
    <w:rsid w:val="0078177E"/>
    <w:rsid w:val="0078304C"/>
    <w:rsid w:val="00783344"/>
    <w:rsid w:val="00783673"/>
    <w:rsid w:val="00785490"/>
    <w:rsid w:val="0078648D"/>
    <w:rsid w:val="00787795"/>
    <w:rsid w:val="007925EA"/>
    <w:rsid w:val="00793CD8"/>
    <w:rsid w:val="00794A88"/>
    <w:rsid w:val="00795C38"/>
    <w:rsid w:val="00795C92"/>
    <w:rsid w:val="00796231"/>
    <w:rsid w:val="007A0227"/>
    <w:rsid w:val="007A17FD"/>
    <w:rsid w:val="007A1CB3"/>
    <w:rsid w:val="007A306F"/>
    <w:rsid w:val="007A43A6"/>
    <w:rsid w:val="007A58A6"/>
    <w:rsid w:val="007A62D0"/>
    <w:rsid w:val="007A737E"/>
    <w:rsid w:val="007B1DBB"/>
    <w:rsid w:val="007B3D2D"/>
    <w:rsid w:val="007B50AE"/>
    <w:rsid w:val="007B51DF"/>
    <w:rsid w:val="007B5600"/>
    <w:rsid w:val="007B5EB3"/>
    <w:rsid w:val="007B7232"/>
    <w:rsid w:val="007B733D"/>
    <w:rsid w:val="007C05DD"/>
    <w:rsid w:val="007C2287"/>
    <w:rsid w:val="007C3D18"/>
    <w:rsid w:val="007C4414"/>
    <w:rsid w:val="007C60BF"/>
    <w:rsid w:val="007C6A07"/>
    <w:rsid w:val="007C73D5"/>
    <w:rsid w:val="007C75A1"/>
    <w:rsid w:val="007C77A5"/>
    <w:rsid w:val="007C77C9"/>
    <w:rsid w:val="007D04E5"/>
    <w:rsid w:val="007D0E4A"/>
    <w:rsid w:val="007D5901"/>
    <w:rsid w:val="007D7526"/>
    <w:rsid w:val="007E0E28"/>
    <w:rsid w:val="007E0F30"/>
    <w:rsid w:val="007E1D21"/>
    <w:rsid w:val="007E4610"/>
    <w:rsid w:val="007E4715"/>
    <w:rsid w:val="007E505B"/>
    <w:rsid w:val="007E7091"/>
    <w:rsid w:val="007F3049"/>
    <w:rsid w:val="007F517D"/>
    <w:rsid w:val="007F5624"/>
    <w:rsid w:val="00803FAE"/>
    <w:rsid w:val="00805AF5"/>
    <w:rsid w:val="0080605F"/>
    <w:rsid w:val="00807786"/>
    <w:rsid w:val="00811FCB"/>
    <w:rsid w:val="008158D6"/>
    <w:rsid w:val="00816FAA"/>
    <w:rsid w:val="008170C5"/>
    <w:rsid w:val="00817196"/>
    <w:rsid w:val="008215F4"/>
    <w:rsid w:val="008235DB"/>
    <w:rsid w:val="0082449C"/>
    <w:rsid w:val="00824A6E"/>
    <w:rsid w:val="00824AB4"/>
    <w:rsid w:val="00825C42"/>
    <w:rsid w:val="00825D25"/>
    <w:rsid w:val="00827D6F"/>
    <w:rsid w:val="0083430F"/>
    <w:rsid w:val="00834EE5"/>
    <w:rsid w:val="008376AC"/>
    <w:rsid w:val="008413F7"/>
    <w:rsid w:val="008435D0"/>
    <w:rsid w:val="008444E8"/>
    <w:rsid w:val="00844E80"/>
    <w:rsid w:val="00846FE7"/>
    <w:rsid w:val="008472AC"/>
    <w:rsid w:val="008477DC"/>
    <w:rsid w:val="008507B6"/>
    <w:rsid w:val="00850CEC"/>
    <w:rsid w:val="0085274B"/>
    <w:rsid w:val="00856911"/>
    <w:rsid w:val="00856922"/>
    <w:rsid w:val="00857359"/>
    <w:rsid w:val="00860BEB"/>
    <w:rsid w:val="008677FD"/>
    <w:rsid w:val="008706D4"/>
    <w:rsid w:val="00870F8A"/>
    <w:rsid w:val="008719A4"/>
    <w:rsid w:val="00871D23"/>
    <w:rsid w:val="0087404E"/>
    <w:rsid w:val="00874244"/>
    <w:rsid w:val="00874312"/>
    <w:rsid w:val="0087437C"/>
    <w:rsid w:val="00875CD7"/>
    <w:rsid w:val="008760E0"/>
    <w:rsid w:val="00876B4D"/>
    <w:rsid w:val="00877F18"/>
    <w:rsid w:val="00881274"/>
    <w:rsid w:val="00886C80"/>
    <w:rsid w:val="00887566"/>
    <w:rsid w:val="008931EA"/>
    <w:rsid w:val="00894A88"/>
    <w:rsid w:val="008952BD"/>
    <w:rsid w:val="00895386"/>
    <w:rsid w:val="0089611D"/>
    <w:rsid w:val="00896339"/>
    <w:rsid w:val="00896D7D"/>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297"/>
    <w:rsid w:val="008B7B5C"/>
    <w:rsid w:val="008C0C99"/>
    <w:rsid w:val="008C13F8"/>
    <w:rsid w:val="008C1A53"/>
    <w:rsid w:val="008C2017"/>
    <w:rsid w:val="008C394C"/>
    <w:rsid w:val="008C4958"/>
    <w:rsid w:val="008C4BAA"/>
    <w:rsid w:val="008C6AE8"/>
    <w:rsid w:val="008C7573"/>
    <w:rsid w:val="008D0AEB"/>
    <w:rsid w:val="008D34F1"/>
    <w:rsid w:val="008D39D8"/>
    <w:rsid w:val="008D52BA"/>
    <w:rsid w:val="008D5D77"/>
    <w:rsid w:val="008D5F09"/>
    <w:rsid w:val="008D6D1A"/>
    <w:rsid w:val="008E065E"/>
    <w:rsid w:val="008E0927"/>
    <w:rsid w:val="008E1909"/>
    <w:rsid w:val="008E1A58"/>
    <w:rsid w:val="008E3313"/>
    <w:rsid w:val="008E5153"/>
    <w:rsid w:val="008E5C9C"/>
    <w:rsid w:val="008E6846"/>
    <w:rsid w:val="008E6971"/>
    <w:rsid w:val="008E79C5"/>
    <w:rsid w:val="008F0AE4"/>
    <w:rsid w:val="008F169D"/>
    <w:rsid w:val="008F1E0F"/>
    <w:rsid w:val="008F1EAB"/>
    <w:rsid w:val="008F33DC"/>
    <w:rsid w:val="008F477F"/>
    <w:rsid w:val="008F7ADA"/>
    <w:rsid w:val="00900E26"/>
    <w:rsid w:val="009020BE"/>
    <w:rsid w:val="00902350"/>
    <w:rsid w:val="00902AC5"/>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07D"/>
    <w:rsid w:val="00921DD2"/>
    <w:rsid w:val="00922010"/>
    <w:rsid w:val="00926616"/>
    <w:rsid w:val="00927BC5"/>
    <w:rsid w:val="009314D5"/>
    <w:rsid w:val="00931BD9"/>
    <w:rsid w:val="00932CDA"/>
    <w:rsid w:val="0093322C"/>
    <w:rsid w:val="009332F6"/>
    <w:rsid w:val="009368F3"/>
    <w:rsid w:val="00936F09"/>
    <w:rsid w:val="00941636"/>
    <w:rsid w:val="00943742"/>
    <w:rsid w:val="00945C05"/>
    <w:rsid w:val="00946945"/>
    <w:rsid w:val="00947713"/>
    <w:rsid w:val="00950017"/>
    <w:rsid w:val="00950DE7"/>
    <w:rsid w:val="00950E27"/>
    <w:rsid w:val="00953920"/>
    <w:rsid w:val="00953B68"/>
    <w:rsid w:val="00953D47"/>
    <w:rsid w:val="0095681E"/>
    <w:rsid w:val="009572D4"/>
    <w:rsid w:val="00957FFB"/>
    <w:rsid w:val="00961921"/>
    <w:rsid w:val="00961B10"/>
    <w:rsid w:val="00961C3F"/>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2C6C"/>
    <w:rsid w:val="009A462D"/>
    <w:rsid w:val="009A53A3"/>
    <w:rsid w:val="009A5CBA"/>
    <w:rsid w:val="009A6553"/>
    <w:rsid w:val="009A7536"/>
    <w:rsid w:val="009A79F8"/>
    <w:rsid w:val="009B1DED"/>
    <w:rsid w:val="009B1F30"/>
    <w:rsid w:val="009B226F"/>
    <w:rsid w:val="009B3AC2"/>
    <w:rsid w:val="009B4DF4"/>
    <w:rsid w:val="009B564E"/>
    <w:rsid w:val="009B7E87"/>
    <w:rsid w:val="009C2637"/>
    <w:rsid w:val="009C403E"/>
    <w:rsid w:val="009D1FE8"/>
    <w:rsid w:val="009D2B94"/>
    <w:rsid w:val="009D40E7"/>
    <w:rsid w:val="009D4FF0"/>
    <w:rsid w:val="009D6BCC"/>
    <w:rsid w:val="009D6F86"/>
    <w:rsid w:val="009D703C"/>
    <w:rsid w:val="009D718F"/>
    <w:rsid w:val="009D7877"/>
    <w:rsid w:val="009E068F"/>
    <w:rsid w:val="009E14E0"/>
    <w:rsid w:val="009E308A"/>
    <w:rsid w:val="009E35DB"/>
    <w:rsid w:val="009E47A3"/>
    <w:rsid w:val="009E4942"/>
    <w:rsid w:val="009E5D68"/>
    <w:rsid w:val="009E67CE"/>
    <w:rsid w:val="009F08F3"/>
    <w:rsid w:val="009F344F"/>
    <w:rsid w:val="009F5C26"/>
    <w:rsid w:val="00A00895"/>
    <w:rsid w:val="00A04259"/>
    <w:rsid w:val="00A048A8"/>
    <w:rsid w:val="00A04F49"/>
    <w:rsid w:val="00A078FE"/>
    <w:rsid w:val="00A11077"/>
    <w:rsid w:val="00A13E54"/>
    <w:rsid w:val="00A14B31"/>
    <w:rsid w:val="00A17094"/>
    <w:rsid w:val="00A17F63"/>
    <w:rsid w:val="00A2193B"/>
    <w:rsid w:val="00A21D52"/>
    <w:rsid w:val="00A22A64"/>
    <w:rsid w:val="00A2351A"/>
    <w:rsid w:val="00A264A9"/>
    <w:rsid w:val="00A26831"/>
    <w:rsid w:val="00A27785"/>
    <w:rsid w:val="00A30187"/>
    <w:rsid w:val="00A30A42"/>
    <w:rsid w:val="00A32EF8"/>
    <w:rsid w:val="00A33ABC"/>
    <w:rsid w:val="00A3448A"/>
    <w:rsid w:val="00A346DA"/>
    <w:rsid w:val="00A34CCD"/>
    <w:rsid w:val="00A36297"/>
    <w:rsid w:val="00A37392"/>
    <w:rsid w:val="00A41E2B"/>
    <w:rsid w:val="00A436D5"/>
    <w:rsid w:val="00A44253"/>
    <w:rsid w:val="00A45B74"/>
    <w:rsid w:val="00A47522"/>
    <w:rsid w:val="00A47863"/>
    <w:rsid w:val="00A52E1D"/>
    <w:rsid w:val="00A6087E"/>
    <w:rsid w:val="00A61499"/>
    <w:rsid w:val="00A62A77"/>
    <w:rsid w:val="00A63483"/>
    <w:rsid w:val="00A63D6A"/>
    <w:rsid w:val="00A657D7"/>
    <w:rsid w:val="00A660AC"/>
    <w:rsid w:val="00A66C51"/>
    <w:rsid w:val="00A67703"/>
    <w:rsid w:val="00A67E6C"/>
    <w:rsid w:val="00A71B99"/>
    <w:rsid w:val="00A7242D"/>
    <w:rsid w:val="00A7261F"/>
    <w:rsid w:val="00A739D0"/>
    <w:rsid w:val="00A74922"/>
    <w:rsid w:val="00A74A1F"/>
    <w:rsid w:val="00A761D4"/>
    <w:rsid w:val="00A76692"/>
    <w:rsid w:val="00A76977"/>
    <w:rsid w:val="00A77EC4"/>
    <w:rsid w:val="00A80543"/>
    <w:rsid w:val="00A81D38"/>
    <w:rsid w:val="00A87C47"/>
    <w:rsid w:val="00A908CC"/>
    <w:rsid w:val="00A92879"/>
    <w:rsid w:val="00A93964"/>
    <w:rsid w:val="00A9442A"/>
    <w:rsid w:val="00A9596D"/>
    <w:rsid w:val="00A95BBC"/>
    <w:rsid w:val="00AA0139"/>
    <w:rsid w:val="00AA016F"/>
    <w:rsid w:val="00AA1ED6"/>
    <w:rsid w:val="00AA3632"/>
    <w:rsid w:val="00AA377D"/>
    <w:rsid w:val="00AA51D6"/>
    <w:rsid w:val="00AB0BC8"/>
    <w:rsid w:val="00AB11CA"/>
    <w:rsid w:val="00AB14D9"/>
    <w:rsid w:val="00AB1B31"/>
    <w:rsid w:val="00AB1BA6"/>
    <w:rsid w:val="00AB2350"/>
    <w:rsid w:val="00AB4AB8"/>
    <w:rsid w:val="00AB5233"/>
    <w:rsid w:val="00AB5E59"/>
    <w:rsid w:val="00AB655E"/>
    <w:rsid w:val="00AB78CD"/>
    <w:rsid w:val="00AC007F"/>
    <w:rsid w:val="00AC20C3"/>
    <w:rsid w:val="00AC2E25"/>
    <w:rsid w:val="00AC2ECD"/>
    <w:rsid w:val="00AC3119"/>
    <w:rsid w:val="00AC49FB"/>
    <w:rsid w:val="00AC55DA"/>
    <w:rsid w:val="00AC5A10"/>
    <w:rsid w:val="00AC5FFA"/>
    <w:rsid w:val="00AC635E"/>
    <w:rsid w:val="00AC6888"/>
    <w:rsid w:val="00AC7F70"/>
    <w:rsid w:val="00AC7FE8"/>
    <w:rsid w:val="00AD0AA3"/>
    <w:rsid w:val="00AD1211"/>
    <w:rsid w:val="00AD2920"/>
    <w:rsid w:val="00AD3F94"/>
    <w:rsid w:val="00AD4A5A"/>
    <w:rsid w:val="00AD4FC0"/>
    <w:rsid w:val="00AD5BC5"/>
    <w:rsid w:val="00AD5CDA"/>
    <w:rsid w:val="00AE2157"/>
    <w:rsid w:val="00AE23A9"/>
    <w:rsid w:val="00AE27AC"/>
    <w:rsid w:val="00AE40E0"/>
    <w:rsid w:val="00AE4C61"/>
    <w:rsid w:val="00AE4DBA"/>
    <w:rsid w:val="00AE4F07"/>
    <w:rsid w:val="00AE5CC2"/>
    <w:rsid w:val="00AE69FE"/>
    <w:rsid w:val="00AF1C5D"/>
    <w:rsid w:val="00AF42D7"/>
    <w:rsid w:val="00AF7C95"/>
    <w:rsid w:val="00B006FE"/>
    <w:rsid w:val="00B007CB"/>
    <w:rsid w:val="00B02AA9"/>
    <w:rsid w:val="00B02FA3"/>
    <w:rsid w:val="00B05084"/>
    <w:rsid w:val="00B06CB4"/>
    <w:rsid w:val="00B11CD2"/>
    <w:rsid w:val="00B13A6C"/>
    <w:rsid w:val="00B157F9"/>
    <w:rsid w:val="00B167F1"/>
    <w:rsid w:val="00B170AB"/>
    <w:rsid w:val="00B17572"/>
    <w:rsid w:val="00B20256"/>
    <w:rsid w:val="00B20D09"/>
    <w:rsid w:val="00B250A3"/>
    <w:rsid w:val="00B2763F"/>
    <w:rsid w:val="00B27AAC"/>
    <w:rsid w:val="00B30929"/>
    <w:rsid w:val="00B32258"/>
    <w:rsid w:val="00B3301E"/>
    <w:rsid w:val="00B336C6"/>
    <w:rsid w:val="00B372AA"/>
    <w:rsid w:val="00B376B0"/>
    <w:rsid w:val="00B40445"/>
    <w:rsid w:val="00B41888"/>
    <w:rsid w:val="00B44014"/>
    <w:rsid w:val="00B459DB"/>
    <w:rsid w:val="00B45A52"/>
    <w:rsid w:val="00B46175"/>
    <w:rsid w:val="00B47198"/>
    <w:rsid w:val="00B47A3D"/>
    <w:rsid w:val="00B539DC"/>
    <w:rsid w:val="00B6045F"/>
    <w:rsid w:val="00B61DB8"/>
    <w:rsid w:val="00B62AAA"/>
    <w:rsid w:val="00B62C25"/>
    <w:rsid w:val="00B664C7"/>
    <w:rsid w:val="00B66689"/>
    <w:rsid w:val="00B672C5"/>
    <w:rsid w:val="00B70298"/>
    <w:rsid w:val="00B7155D"/>
    <w:rsid w:val="00B72F59"/>
    <w:rsid w:val="00B739F6"/>
    <w:rsid w:val="00B746EF"/>
    <w:rsid w:val="00B7690F"/>
    <w:rsid w:val="00B8075C"/>
    <w:rsid w:val="00B81A6C"/>
    <w:rsid w:val="00B8301C"/>
    <w:rsid w:val="00B85DE5"/>
    <w:rsid w:val="00B8724B"/>
    <w:rsid w:val="00B87CD8"/>
    <w:rsid w:val="00B87FFE"/>
    <w:rsid w:val="00B90F73"/>
    <w:rsid w:val="00B93AF7"/>
    <w:rsid w:val="00B93B59"/>
    <w:rsid w:val="00B9406A"/>
    <w:rsid w:val="00BA1D9F"/>
    <w:rsid w:val="00BA2280"/>
    <w:rsid w:val="00BA2A08"/>
    <w:rsid w:val="00BA56D2"/>
    <w:rsid w:val="00BA76E0"/>
    <w:rsid w:val="00BB1AB6"/>
    <w:rsid w:val="00BB1BEB"/>
    <w:rsid w:val="00BB2A25"/>
    <w:rsid w:val="00BB362F"/>
    <w:rsid w:val="00BB4C80"/>
    <w:rsid w:val="00BB5074"/>
    <w:rsid w:val="00BB51E9"/>
    <w:rsid w:val="00BC0522"/>
    <w:rsid w:val="00BC0FDC"/>
    <w:rsid w:val="00BC1273"/>
    <w:rsid w:val="00BC3053"/>
    <w:rsid w:val="00BC44EF"/>
    <w:rsid w:val="00BC4D2E"/>
    <w:rsid w:val="00BC53E5"/>
    <w:rsid w:val="00BD0701"/>
    <w:rsid w:val="00BD127D"/>
    <w:rsid w:val="00BD2A1D"/>
    <w:rsid w:val="00BD344E"/>
    <w:rsid w:val="00BD48AC"/>
    <w:rsid w:val="00BD5F1A"/>
    <w:rsid w:val="00BD6748"/>
    <w:rsid w:val="00BD72B4"/>
    <w:rsid w:val="00BE1234"/>
    <w:rsid w:val="00BE2FA6"/>
    <w:rsid w:val="00BE333F"/>
    <w:rsid w:val="00BE7406"/>
    <w:rsid w:val="00BE7603"/>
    <w:rsid w:val="00BF186A"/>
    <w:rsid w:val="00BF1CA9"/>
    <w:rsid w:val="00BF3279"/>
    <w:rsid w:val="00BF4DAC"/>
    <w:rsid w:val="00BF63B4"/>
    <w:rsid w:val="00BF6459"/>
    <w:rsid w:val="00BF74C7"/>
    <w:rsid w:val="00BF7D79"/>
    <w:rsid w:val="00BF7D8F"/>
    <w:rsid w:val="00BF7FE1"/>
    <w:rsid w:val="00C00FE0"/>
    <w:rsid w:val="00C015F1"/>
    <w:rsid w:val="00C01F33"/>
    <w:rsid w:val="00C02700"/>
    <w:rsid w:val="00C02CC6"/>
    <w:rsid w:val="00C02DB1"/>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75B9"/>
    <w:rsid w:val="00C279B5"/>
    <w:rsid w:val="00C27C45"/>
    <w:rsid w:val="00C31964"/>
    <w:rsid w:val="00C31A4A"/>
    <w:rsid w:val="00C34D1A"/>
    <w:rsid w:val="00C34FE8"/>
    <w:rsid w:val="00C36101"/>
    <w:rsid w:val="00C3719D"/>
    <w:rsid w:val="00C54995"/>
    <w:rsid w:val="00C54D41"/>
    <w:rsid w:val="00C577BE"/>
    <w:rsid w:val="00C60783"/>
    <w:rsid w:val="00C64672"/>
    <w:rsid w:val="00C65B1E"/>
    <w:rsid w:val="00C6745A"/>
    <w:rsid w:val="00C70697"/>
    <w:rsid w:val="00C715D4"/>
    <w:rsid w:val="00C72EF4"/>
    <w:rsid w:val="00C75B89"/>
    <w:rsid w:val="00C75D2F"/>
    <w:rsid w:val="00C767BE"/>
    <w:rsid w:val="00C76963"/>
    <w:rsid w:val="00C76C63"/>
    <w:rsid w:val="00C76E3C"/>
    <w:rsid w:val="00C77029"/>
    <w:rsid w:val="00C81568"/>
    <w:rsid w:val="00C81825"/>
    <w:rsid w:val="00C8343A"/>
    <w:rsid w:val="00C85664"/>
    <w:rsid w:val="00C9027A"/>
    <w:rsid w:val="00C9068E"/>
    <w:rsid w:val="00C91811"/>
    <w:rsid w:val="00C91A48"/>
    <w:rsid w:val="00C920F9"/>
    <w:rsid w:val="00C93C4B"/>
    <w:rsid w:val="00C944AB"/>
    <w:rsid w:val="00C9566F"/>
    <w:rsid w:val="00C95B40"/>
    <w:rsid w:val="00C978F4"/>
    <w:rsid w:val="00CA1ED8"/>
    <w:rsid w:val="00CA3F64"/>
    <w:rsid w:val="00CA4286"/>
    <w:rsid w:val="00CB1F63"/>
    <w:rsid w:val="00CB27CF"/>
    <w:rsid w:val="00CB7170"/>
    <w:rsid w:val="00CC040E"/>
    <w:rsid w:val="00CC111F"/>
    <w:rsid w:val="00CC2011"/>
    <w:rsid w:val="00CC2C7E"/>
    <w:rsid w:val="00CC322D"/>
    <w:rsid w:val="00CC3EA0"/>
    <w:rsid w:val="00CC7B45"/>
    <w:rsid w:val="00CD0724"/>
    <w:rsid w:val="00CD1188"/>
    <w:rsid w:val="00CD16E9"/>
    <w:rsid w:val="00CD1AC5"/>
    <w:rsid w:val="00CD2ED1"/>
    <w:rsid w:val="00CD337B"/>
    <w:rsid w:val="00CD45E7"/>
    <w:rsid w:val="00CE0424"/>
    <w:rsid w:val="00CE5393"/>
    <w:rsid w:val="00CE7561"/>
    <w:rsid w:val="00CE7603"/>
    <w:rsid w:val="00CF050B"/>
    <w:rsid w:val="00CF100F"/>
    <w:rsid w:val="00CF1354"/>
    <w:rsid w:val="00CF3B1F"/>
    <w:rsid w:val="00CF3BF6"/>
    <w:rsid w:val="00CF625B"/>
    <w:rsid w:val="00CF687E"/>
    <w:rsid w:val="00D0349B"/>
    <w:rsid w:val="00D04434"/>
    <w:rsid w:val="00D04570"/>
    <w:rsid w:val="00D04FDB"/>
    <w:rsid w:val="00D060F6"/>
    <w:rsid w:val="00D06AC6"/>
    <w:rsid w:val="00D10249"/>
    <w:rsid w:val="00D115C3"/>
    <w:rsid w:val="00D11897"/>
    <w:rsid w:val="00D11D37"/>
    <w:rsid w:val="00D1241A"/>
    <w:rsid w:val="00D130C0"/>
    <w:rsid w:val="00D13135"/>
    <w:rsid w:val="00D132C9"/>
    <w:rsid w:val="00D13E4E"/>
    <w:rsid w:val="00D15300"/>
    <w:rsid w:val="00D20106"/>
    <w:rsid w:val="00D2214C"/>
    <w:rsid w:val="00D2290F"/>
    <w:rsid w:val="00D239A7"/>
    <w:rsid w:val="00D23F47"/>
    <w:rsid w:val="00D247FF"/>
    <w:rsid w:val="00D26B46"/>
    <w:rsid w:val="00D27CC3"/>
    <w:rsid w:val="00D3005B"/>
    <w:rsid w:val="00D3176C"/>
    <w:rsid w:val="00D31F48"/>
    <w:rsid w:val="00D33AED"/>
    <w:rsid w:val="00D34ABC"/>
    <w:rsid w:val="00D350EB"/>
    <w:rsid w:val="00D367AF"/>
    <w:rsid w:val="00D36E71"/>
    <w:rsid w:val="00D37D87"/>
    <w:rsid w:val="00D40915"/>
    <w:rsid w:val="00D40B33"/>
    <w:rsid w:val="00D419E4"/>
    <w:rsid w:val="00D4318F"/>
    <w:rsid w:val="00D438BF"/>
    <w:rsid w:val="00D440F8"/>
    <w:rsid w:val="00D44BA8"/>
    <w:rsid w:val="00D46F72"/>
    <w:rsid w:val="00D47081"/>
    <w:rsid w:val="00D509D3"/>
    <w:rsid w:val="00D51F0C"/>
    <w:rsid w:val="00D546FF"/>
    <w:rsid w:val="00D55AD5"/>
    <w:rsid w:val="00D576CA"/>
    <w:rsid w:val="00D5778B"/>
    <w:rsid w:val="00D579D0"/>
    <w:rsid w:val="00D60E13"/>
    <w:rsid w:val="00D61AF5"/>
    <w:rsid w:val="00D62CD5"/>
    <w:rsid w:val="00D6435F"/>
    <w:rsid w:val="00D652B5"/>
    <w:rsid w:val="00D66155"/>
    <w:rsid w:val="00D708B0"/>
    <w:rsid w:val="00D72E42"/>
    <w:rsid w:val="00D73F81"/>
    <w:rsid w:val="00D75C8E"/>
    <w:rsid w:val="00D77B1D"/>
    <w:rsid w:val="00D8021F"/>
    <w:rsid w:val="00D80383"/>
    <w:rsid w:val="00D823C6"/>
    <w:rsid w:val="00D82CB4"/>
    <w:rsid w:val="00D8424C"/>
    <w:rsid w:val="00D84D28"/>
    <w:rsid w:val="00D86202"/>
    <w:rsid w:val="00D86CA3"/>
    <w:rsid w:val="00D871CE"/>
    <w:rsid w:val="00D9196D"/>
    <w:rsid w:val="00D92982"/>
    <w:rsid w:val="00D95036"/>
    <w:rsid w:val="00D95657"/>
    <w:rsid w:val="00D9687C"/>
    <w:rsid w:val="00DA06F3"/>
    <w:rsid w:val="00DA305E"/>
    <w:rsid w:val="00DA32BE"/>
    <w:rsid w:val="00DA5007"/>
    <w:rsid w:val="00DA5417"/>
    <w:rsid w:val="00DA56E8"/>
    <w:rsid w:val="00DB09F6"/>
    <w:rsid w:val="00DB0A9F"/>
    <w:rsid w:val="00DB17A1"/>
    <w:rsid w:val="00DB26FC"/>
    <w:rsid w:val="00DB2A5F"/>
    <w:rsid w:val="00DB377D"/>
    <w:rsid w:val="00DB5696"/>
    <w:rsid w:val="00DC2140"/>
    <w:rsid w:val="00DC2D36"/>
    <w:rsid w:val="00DC3D67"/>
    <w:rsid w:val="00DC4F42"/>
    <w:rsid w:val="00DC53EF"/>
    <w:rsid w:val="00DC7D8F"/>
    <w:rsid w:val="00DD39D5"/>
    <w:rsid w:val="00DD569D"/>
    <w:rsid w:val="00DD58EE"/>
    <w:rsid w:val="00DD739C"/>
    <w:rsid w:val="00DE17FB"/>
    <w:rsid w:val="00DE18FE"/>
    <w:rsid w:val="00DE3E14"/>
    <w:rsid w:val="00DE4478"/>
    <w:rsid w:val="00DE5608"/>
    <w:rsid w:val="00DE58D0"/>
    <w:rsid w:val="00DE5C7E"/>
    <w:rsid w:val="00DE654F"/>
    <w:rsid w:val="00DF0B6E"/>
    <w:rsid w:val="00DF15E0"/>
    <w:rsid w:val="00DF37A0"/>
    <w:rsid w:val="00DF6444"/>
    <w:rsid w:val="00DF7FBA"/>
    <w:rsid w:val="00E00191"/>
    <w:rsid w:val="00E0097E"/>
    <w:rsid w:val="00E0243A"/>
    <w:rsid w:val="00E106F5"/>
    <w:rsid w:val="00E110E7"/>
    <w:rsid w:val="00E11B20"/>
    <w:rsid w:val="00E17FA2"/>
    <w:rsid w:val="00E215AA"/>
    <w:rsid w:val="00E22330"/>
    <w:rsid w:val="00E24FF0"/>
    <w:rsid w:val="00E30B5A"/>
    <w:rsid w:val="00E3119D"/>
    <w:rsid w:val="00E3123D"/>
    <w:rsid w:val="00E31461"/>
    <w:rsid w:val="00E315F2"/>
    <w:rsid w:val="00E31690"/>
    <w:rsid w:val="00E31D43"/>
    <w:rsid w:val="00E32608"/>
    <w:rsid w:val="00E326AD"/>
    <w:rsid w:val="00E3309F"/>
    <w:rsid w:val="00E34188"/>
    <w:rsid w:val="00E345CD"/>
    <w:rsid w:val="00E34A3A"/>
    <w:rsid w:val="00E34B6E"/>
    <w:rsid w:val="00E35559"/>
    <w:rsid w:val="00E3723A"/>
    <w:rsid w:val="00E37860"/>
    <w:rsid w:val="00E37D8C"/>
    <w:rsid w:val="00E41268"/>
    <w:rsid w:val="00E413E2"/>
    <w:rsid w:val="00E43018"/>
    <w:rsid w:val="00E446F1"/>
    <w:rsid w:val="00E46886"/>
    <w:rsid w:val="00E4782A"/>
    <w:rsid w:val="00E47AEF"/>
    <w:rsid w:val="00E528F4"/>
    <w:rsid w:val="00E53B48"/>
    <w:rsid w:val="00E53B75"/>
    <w:rsid w:val="00E5480D"/>
    <w:rsid w:val="00E54E3B"/>
    <w:rsid w:val="00E56923"/>
    <w:rsid w:val="00E57565"/>
    <w:rsid w:val="00E63838"/>
    <w:rsid w:val="00E64434"/>
    <w:rsid w:val="00E64CF3"/>
    <w:rsid w:val="00E66999"/>
    <w:rsid w:val="00E67C51"/>
    <w:rsid w:val="00E72EFC"/>
    <w:rsid w:val="00E758EC"/>
    <w:rsid w:val="00E7659D"/>
    <w:rsid w:val="00E81189"/>
    <w:rsid w:val="00E81D94"/>
    <w:rsid w:val="00E8234C"/>
    <w:rsid w:val="00E83AA9"/>
    <w:rsid w:val="00E85928"/>
    <w:rsid w:val="00E87822"/>
    <w:rsid w:val="00E90395"/>
    <w:rsid w:val="00E90E49"/>
    <w:rsid w:val="00E917F9"/>
    <w:rsid w:val="00E9291C"/>
    <w:rsid w:val="00E93FFE"/>
    <w:rsid w:val="00E94F8A"/>
    <w:rsid w:val="00E95523"/>
    <w:rsid w:val="00E967EE"/>
    <w:rsid w:val="00E968C7"/>
    <w:rsid w:val="00E97ACD"/>
    <w:rsid w:val="00EA1F8D"/>
    <w:rsid w:val="00EA3F20"/>
    <w:rsid w:val="00EA3F61"/>
    <w:rsid w:val="00EA4310"/>
    <w:rsid w:val="00EA4D55"/>
    <w:rsid w:val="00EA78D3"/>
    <w:rsid w:val="00EA7A41"/>
    <w:rsid w:val="00EB077B"/>
    <w:rsid w:val="00EB21D0"/>
    <w:rsid w:val="00EB2EB5"/>
    <w:rsid w:val="00EB3981"/>
    <w:rsid w:val="00EB4892"/>
    <w:rsid w:val="00EB4EA2"/>
    <w:rsid w:val="00EB6D5D"/>
    <w:rsid w:val="00EB707A"/>
    <w:rsid w:val="00EB72D5"/>
    <w:rsid w:val="00EC27C6"/>
    <w:rsid w:val="00EC4207"/>
    <w:rsid w:val="00EC439D"/>
    <w:rsid w:val="00EC5479"/>
    <w:rsid w:val="00EC54AB"/>
    <w:rsid w:val="00EC5653"/>
    <w:rsid w:val="00EC60B5"/>
    <w:rsid w:val="00EC71CE"/>
    <w:rsid w:val="00ED1006"/>
    <w:rsid w:val="00ED3EFF"/>
    <w:rsid w:val="00ED5B4C"/>
    <w:rsid w:val="00ED5EDB"/>
    <w:rsid w:val="00ED605D"/>
    <w:rsid w:val="00EE3501"/>
    <w:rsid w:val="00EE3F21"/>
    <w:rsid w:val="00EE42C9"/>
    <w:rsid w:val="00EE4BA1"/>
    <w:rsid w:val="00EE5985"/>
    <w:rsid w:val="00EE5C1E"/>
    <w:rsid w:val="00EE7253"/>
    <w:rsid w:val="00EE76C9"/>
    <w:rsid w:val="00EF0DCA"/>
    <w:rsid w:val="00EF18FE"/>
    <w:rsid w:val="00EF5787"/>
    <w:rsid w:val="00EF60D0"/>
    <w:rsid w:val="00F00296"/>
    <w:rsid w:val="00F011C5"/>
    <w:rsid w:val="00F0528D"/>
    <w:rsid w:val="00F067A4"/>
    <w:rsid w:val="00F06C67"/>
    <w:rsid w:val="00F06DFD"/>
    <w:rsid w:val="00F06E06"/>
    <w:rsid w:val="00F071D1"/>
    <w:rsid w:val="00F07533"/>
    <w:rsid w:val="00F10448"/>
    <w:rsid w:val="00F10616"/>
    <w:rsid w:val="00F10629"/>
    <w:rsid w:val="00F11001"/>
    <w:rsid w:val="00F158C9"/>
    <w:rsid w:val="00F15A2A"/>
    <w:rsid w:val="00F15FA5"/>
    <w:rsid w:val="00F16643"/>
    <w:rsid w:val="00F209B7"/>
    <w:rsid w:val="00F20B0E"/>
    <w:rsid w:val="00F2376F"/>
    <w:rsid w:val="00F23CE2"/>
    <w:rsid w:val="00F241E8"/>
    <w:rsid w:val="00F243D8"/>
    <w:rsid w:val="00F261C8"/>
    <w:rsid w:val="00F3019E"/>
    <w:rsid w:val="00F30828"/>
    <w:rsid w:val="00F313D6"/>
    <w:rsid w:val="00F33EC5"/>
    <w:rsid w:val="00F34E5F"/>
    <w:rsid w:val="00F351AE"/>
    <w:rsid w:val="00F3715E"/>
    <w:rsid w:val="00F37240"/>
    <w:rsid w:val="00F40F0C"/>
    <w:rsid w:val="00F4766C"/>
    <w:rsid w:val="00F507D1"/>
    <w:rsid w:val="00F519CE"/>
    <w:rsid w:val="00F51ADA"/>
    <w:rsid w:val="00F560CA"/>
    <w:rsid w:val="00F607C5"/>
    <w:rsid w:val="00F60DEA"/>
    <w:rsid w:val="00F6302A"/>
    <w:rsid w:val="00F64329"/>
    <w:rsid w:val="00F64632"/>
    <w:rsid w:val="00F64C2B"/>
    <w:rsid w:val="00F651BE"/>
    <w:rsid w:val="00F67A15"/>
    <w:rsid w:val="00F67F53"/>
    <w:rsid w:val="00F70124"/>
    <w:rsid w:val="00F703BE"/>
    <w:rsid w:val="00F71F69"/>
    <w:rsid w:val="00F72B72"/>
    <w:rsid w:val="00F74BB9"/>
    <w:rsid w:val="00F75582"/>
    <w:rsid w:val="00F75A7F"/>
    <w:rsid w:val="00F768C7"/>
    <w:rsid w:val="00F76EFA"/>
    <w:rsid w:val="00F804BE"/>
    <w:rsid w:val="00F81287"/>
    <w:rsid w:val="00F817CE"/>
    <w:rsid w:val="00F821DC"/>
    <w:rsid w:val="00F82C12"/>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3B9C"/>
    <w:rsid w:val="00FA5E06"/>
    <w:rsid w:val="00FB1072"/>
    <w:rsid w:val="00FB4C80"/>
    <w:rsid w:val="00FB6A6A"/>
    <w:rsid w:val="00FC4162"/>
    <w:rsid w:val="00FC47FA"/>
    <w:rsid w:val="00FC4AD0"/>
    <w:rsid w:val="00FC61CA"/>
    <w:rsid w:val="00FC7429"/>
    <w:rsid w:val="00FD07F6"/>
    <w:rsid w:val="00FD161A"/>
    <w:rsid w:val="00FD1EC8"/>
    <w:rsid w:val="00FD3FB3"/>
    <w:rsid w:val="00FD453E"/>
    <w:rsid w:val="00FD47ED"/>
    <w:rsid w:val="00FD74DB"/>
    <w:rsid w:val="00FD7660"/>
    <w:rsid w:val="00FE0655"/>
    <w:rsid w:val="00FE1B74"/>
    <w:rsid w:val="00FE2365"/>
    <w:rsid w:val="00FE349F"/>
    <w:rsid w:val="00FE3DCB"/>
    <w:rsid w:val="00FE4C7B"/>
    <w:rsid w:val="00FE7336"/>
    <w:rsid w:val="00FE787C"/>
    <w:rsid w:val="00FF3DD3"/>
    <w:rsid w:val="00FF45A5"/>
    <w:rsid w:val="00FF56CF"/>
    <w:rsid w:val="00FF5C91"/>
    <w:rsid w:val="00FF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15:docId w15:val="{F24A59CA-1298-4C0C-AB74-6C1C0BC8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B031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B0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5B031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B031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5B0319"/>
    <w:pPr>
      <w:numPr>
        <w:ilvl w:val="3"/>
      </w:numPr>
      <w:outlineLvl w:val="3"/>
    </w:pPr>
    <w:rPr>
      <w:sz w:val="24"/>
      <w:szCs w:val="24"/>
    </w:rPr>
  </w:style>
  <w:style w:type="paragraph" w:styleId="Heading5">
    <w:name w:val="heading 5"/>
    <w:basedOn w:val="Heading4"/>
    <w:next w:val="Normal"/>
    <w:qFormat/>
    <w:rsid w:val="005B0319"/>
    <w:pPr>
      <w:numPr>
        <w:ilvl w:val="4"/>
      </w:numPr>
      <w:outlineLvl w:val="4"/>
    </w:pPr>
    <w:rPr>
      <w:sz w:val="22"/>
      <w:szCs w:val="22"/>
    </w:rPr>
  </w:style>
  <w:style w:type="paragraph" w:styleId="Heading6">
    <w:name w:val="heading 6"/>
    <w:basedOn w:val="Normal"/>
    <w:next w:val="Normal"/>
    <w:qFormat/>
    <w:rsid w:val="005B0319"/>
    <w:pPr>
      <w:keepNext/>
      <w:keepLines/>
      <w:numPr>
        <w:ilvl w:val="5"/>
        <w:numId w:val="1"/>
      </w:numPr>
      <w:spacing w:before="120"/>
      <w:outlineLvl w:val="5"/>
    </w:pPr>
    <w:rPr>
      <w:rFonts w:cs="Arial"/>
    </w:rPr>
  </w:style>
  <w:style w:type="paragraph" w:styleId="Heading7">
    <w:name w:val="heading 7"/>
    <w:basedOn w:val="Normal"/>
    <w:next w:val="Normal"/>
    <w:qFormat/>
    <w:rsid w:val="005B0319"/>
    <w:pPr>
      <w:keepNext/>
      <w:keepLines/>
      <w:numPr>
        <w:ilvl w:val="6"/>
        <w:numId w:val="1"/>
      </w:numPr>
      <w:spacing w:before="120"/>
      <w:outlineLvl w:val="6"/>
    </w:pPr>
    <w:rPr>
      <w:rFonts w:cs="Arial"/>
    </w:rPr>
  </w:style>
  <w:style w:type="paragraph" w:styleId="Heading8">
    <w:name w:val="heading 8"/>
    <w:basedOn w:val="Heading7"/>
    <w:next w:val="Normal"/>
    <w:qFormat/>
    <w:rsid w:val="005B0319"/>
    <w:pPr>
      <w:numPr>
        <w:ilvl w:val="7"/>
      </w:numPr>
      <w:outlineLvl w:val="7"/>
    </w:pPr>
  </w:style>
  <w:style w:type="paragraph" w:styleId="Heading9">
    <w:name w:val="heading 9"/>
    <w:basedOn w:val="Heading8"/>
    <w:next w:val="Normal"/>
    <w:qFormat/>
    <w:rsid w:val="005B03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B0319"/>
    <w:pPr>
      <w:spacing w:before="180"/>
      <w:ind w:left="2693" w:hanging="2693"/>
    </w:pPr>
    <w:rPr>
      <w:b w:val="0"/>
      <w:bCs/>
    </w:rPr>
  </w:style>
  <w:style w:type="paragraph" w:styleId="TOC1">
    <w:name w:val="toc 1"/>
    <w:aliases w:val="Observation TOC2"/>
    <w:uiPriority w:val="39"/>
    <w:rsid w:val="005B031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B0319"/>
    <w:pPr>
      <w:keepNext/>
      <w:keepLines/>
      <w:spacing w:before="180"/>
      <w:jc w:val="center"/>
    </w:pPr>
  </w:style>
  <w:style w:type="paragraph" w:styleId="Caption">
    <w:name w:val="caption"/>
    <w:basedOn w:val="Normal"/>
    <w:next w:val="Normal"/>
    <w:qFormat/>
    <w:rsid w:val="005B0319"/>
    <w:pPr>
      <w:spacing w:after="240"/>
      <w:jc w:val="center"/>
    </w:pPr>
    <w:rPr>
      <w:b/>
      <w:bCs/>
    </w:rPr>
  </w:style>
  <w:style w:type="paragraph" w:styleId="TOC5">
    <w:name w:val="toc 5"/>
    <w:aliases w:val="Observation TOC"/>
    <w:basedOn w:val="TOC4"/>
    <w:semiHidden/>
    <w:rsid w:val="005B0319"/>
    <w:pPr>
      <w:tabs>
        <w:tab w:val="right" w:pos="1701"/>
      </w:tabs>
      <w:ind w:left="1701" w:hanging="1701"/>
    </w:pPr>
  </w:style>
  <w:style w:type="paragraph" w:styleId="TOC4">
    <w:name w:val="toc 4"/>
    <w:basedOn w:val="TOC3"/>
    <w:semiHidden/>
    <w:rsid w:val="005B0319"/>
    <w:pPr>
      <w:ind w:left="1418" w:hanging="1418"/>
    </w:pPr>
  </w:style>
  <w:style w:type="paragraph" w:styleId="TOC3">
    <w:name w:val="toc 3"/>
    <w:basedOn w:val="TOC2"/>
    <w:semiHidden/>
    <w:rsid w:val="005B0319"/>
    <w:pPr>
      <w:ind w:left="1134" w:hanging="1134"/>
    </w:pPr>
  </w:style>
  <w:style w:type="paragraph" w:styleId="TOC2">
    <w:name w:val="toc 2"/>
    <w:basedOn w:val="TOC1"/>
    <w:semiHidden/>
    <w:rsid w:val="005B0319"/>
    <w:pPr>
      <w:keepNext w:val="0"/>
      <w:spacing w:before="0"/>
      <w:ind w:left="851" w:hanging="851"/>
    </w:pPr>
    <w:rPr>
      <w:szCs w:val="20"/>
    </w:rPr>
  </w:style>
  <w:style w:type="paragraph" w:styleId="Index2">
    <w:name w:val="index 2"/>
    <w:basedOn w:val="Index1"/>
    <w:semiHidden/>
    <w:rsid w:val="005B0319"/>
    <w:pPr>
      <w:ind w:left="284"/>
    </w:pPr>
  </w:style>
  <w:style w:type="paragraph" w:styleId="Index1">
    <w:name w:val="index 1"/>
    <w:basedOn w:val="Normal"/>
    <w:semiHidden/>
    <w:rsid w:val="005B0319"/>
    <w:pPr>
      <w:keepLines/>
      <w:spacing w:after="0"/>
    </w:pPr>
  </w:style>
  <w:style w:type="paragraph" w:styleId="DocumentMap">
    <w:name w:val="Document Map"/>
    <w:basedOn w:val="Normal"/>
    <w:semiHidden/>
    <w:rsid w:val="005B0319"/>
    <w:pPr>
      <w:shd w:val="clear" w:color="auto" w:fill="000080"/>
    </w:pPr>
    <w:rPr>
      <w:rFonts w:ascii="Tahoma" w:hAnsi="Tahoma" w:cs="Tahoma"/>
    </w:rPr>
  </w:style>
  <w:style w:type="paragraph" w:styleId="ListNumber2">
    <w:name w:val="List Number 2"/>
    <w:basedOn w:val="ListNumber"/>
    <w:rsid w:val="005B0319"/>
    <w:pPr>
      <w:ind w:left="851"/>
    </w:pPr>
  </w:style>
  <w:style w:type="paragraph" w:styleId="ListNumber">
    <w:name w:val="List Number"/>
    <w:basedOn w:val="List"/>
    <w:rsid w:val="005B0319"/>
  </w:style>
  <w:style w:type="paragraph" w:styleId="List">
    <w:name w:val="List"/>
    <w:basedOn w:val="Normal"/>
    <w:rsid w:val="005B0319"/>
    <w:pPr>
      <w:ind w:left="568" w:hanging="284"/>
    </w:pPr>
  </w:style>
  <w:style w:type="paragraph" w:styleId="Header">
    <w:name w:val="header"/>
    <w:link w:val="HeaderChar"/>
    <w:rsid w:val="005B031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B0319"/>
    <w:rPr>
      <w:b/>
      <w:bCs/>
      <w:position w:val="6"/>
      <w:sz w:val="16"/>
      <w:szCs w:val="16"/>
    </w:rPr>
  </w:style>
  <w:style w:type="paragraph" w:styleId="FootnoteText">
    <w:name w:val="footnote text"/>
    <w:basedOn w:val="Normal"/>
    <w:semiHidden/>
    <w:rsid w:val="005B0319"/>
    <w:pPr>
      <w:keepLines/>
      <w:spacing w:after="0"/>
      <w:ind w:left="454" w:hanging="454"/>
    </w:pPr>
    <w:rPr>
      <w:sz w:val="16"/>
      <w:szCs w:val="16"/>
    </w:rPr>
  </w:style>
  <w:style w:type="paragraph" w:customStyle="1" w:styleId="3GPPHeader">
    <w:name w:val="3GPP_Header"/>
    <w:basedOn w:val="Normal"/>
    <w:rsid w:val="005B0319"/>
    <w:pPr>
      <w:tabs>
        <w:tab w:val="left" w:pos="1701"/>
        <w:tab w:val="right" w:pos="9639"/>
      </w:tabs>
      <w:spacing w:after="240"/>
    </w:pPr>
    <w:rPr>
      <w:b/>
      <w:sz w:val="24"/>
    </w:rPr>
  </w:style>
  <w:style w:type="paragraph" w:styleId="TOC9">
    <w:name w:val="toc 9"/>
    <w:basedOn w:val="TOC8"/>
    <w:semiHidden/>
    <w:rsid w:val="005B0319"/>
    <w:pPr>
      <w:ind w:left="1418" w:hanging="1418"/>
    </w:pPr>
  </w:style>
  <w:style w:type="paragraph" w:styleId="TOC6">
    <w:name w:val="toc 6"/>
    <w:basedOn w:val="TOC5"/>
    <w:next w:val="Normal"/>
    <w:semiHidden/>
    <w:rsid w:val="005B0319"/>
    <w:pPr>
      <w:ind w:left="1985" w:hanging="1985"/>
    </w:pPr>
  </w:style>
  <w:style w:type="paragraph" w:styleId="TOC7">
    <w:name w:val="toc 7"/>
    <w:basedOn w:val="TOC6"/>
    <w:next w:val="Normal"/>
    <w:semiHidden/>
    <w:rsid w:val="005B0319"/>
    <w:pPr>
      <w:ind w:left="2268" w:hanging="2268"/>
    </w:pPr>
  </w:style>
  <w:style w:type="paragraph" w:styleId="ListBullet2">
    <w:name w:val="List Bullet 2"/>
    <w:basedOn w:val="ListBullet"/>
    <w:rsid w:val="005B0319"/>
    <w:pPr>
      <w:numPr>
        <w:numId w:val="6"/>
      </w:numPr>
    </w:pPr>
  </w:style>
  <w:style w:type="paragraph" w:styleId="ListBullet">
    <w:name w:val="List Bullet"/>
    <w:basedOn w:val="BodyText"/>
    <w:rsid w:val="005B0319"/>
    <w:pPr>
      <w:numPr>
        <w:numId w:val="5"/>
      </w:numPr>
    </w:pPr>
  </w:style>
  <w:style w:type="paragraph" w:styleId="ListBullet3">
    <w:name w:val="List Bullet 3"/>
    <w:basedOn w:val="ListBullet2"/>
    <w:rsid w:val="005B0319"/>
    <w:pPr>
      <w:numPr>
        <w:numId w:val="7"/>
      </w:numPr>
    </w:pPr>
  </w:style>
  <w:style w:type="paragraph" w:customStyle="1" w:styleId="EQ">
    <w:name w:val="EQ"/>
    <w:basedOn w:val="Normal"/>
    <w:next w:val="Normal"/>
    <w:rsid w:val="005B0319"/>
    <w:pPr>
      <w:keepLines/>
      <w:tabs>
        <w:tab w:val="center" w:pos="4536"/>
        <w:tab w:val="right" w:pos="9072"/>
      </w:tabs>
      <w:spacing w:after="180"/>
      <w:jc w:val="left"/>
    </w:pPr>
    <w:rPr>
      <w:noProof/>
      <w:lang w:eastAsia="en-US"/>
    </w:rPr>
  </w:style>
  <w:style w:type="paragraph" w:styleId="List2">
    <w:name w:val="List 2"/>
    <w:basedOn w:val="List"/>
    <w:rsid w:val="005B0319"/>
    <w:pPr>
      <w:ind w:left="851"/>
    </w:pPr>
  </w:style>
  <w:style w:type="paragraph" w:styleId="List3">
    <w:name w:val="List 3"/>
    <w:basedOn w:val="List2"/>
    <w:rsid w:val="005B0319"/>
    <w:pPr>
      <w:ind w:left="1135"/>
    </w:pPr>
  </w:style>
  <w:style w:type="paragraph" w:styleId="List4">
    <w:name w:val="List 4"/>
    <w:basedOn w:val="List3"/>
    <w:rsid w:val="005B0319"/>
    <w:pPr>
      <w:ind w:left="1418"/>
    </w:pPr>
  </w:style>
  <w:style w:type="paragraph" w:styleId="List5">
    <w:name w:val="List 5"/>
    <w:basedOn w:val="List4"/>
    <w:rsid w:val="005B0319"/>
    <w:pPr>
      <w:ind w:left="1702"/>
    </w:pPr>
  </w:style>
  <w:style w:type="paragraph" w:customStyle="1" w:styleId="EditorsNote">
    <w:name w:val="Editor's Note"/>
    <w:basedOn w:val="Normal"/>
    <w:rsid w:val="005B0319"/>
    <w:pPr>
      <w:keepLines/>
      <w:spacing w:after="180"/>
      <w:ind w:left="1135" w:hanging="851"/>
      <w:jc w:val="left"/>
    </w:pPr>
    <w:rPr>
      <w:color w:val="FF0000"/>
      <w:lang w:eastAsia="en-US"/>
    </w:rPr>
  </w:style>
  <w:style w:type="paragraph" w:styleId="ListBullet4">
    <w:name w:val="List Bullet 4"/>
    <w:basedOn w:val="ListBullet3"/>
    <w:rsid w:val="005B0319"/>
    <w:pPr>
      <w:numPr>
        <w:numId w:val="8"/>
      </w:numPr>
    </w:pPr>
  </w:style>
  <w:style w:type="paragraph" w:styleId="ListBullet5">
    <w:name w:val="List Bullet 5"/>
    <w:basedOn w:val="ListBullet4"/>
    <w:rsid w:val="005B0319"/>
    <w:pPr>
      <w:numPr>
        <w:numId w:val="4"/>
      </w:numPr>
    </w:pPr>
  </w:style>
  <w:style w:type="paragraph" w:styleId="Footer">
    <w:name w:val="footer"/>
    <w:basedOn w:val="Header"/>
    <w:semiHidden/>
    <w:rsid w:val="005B0319"/>
    <w:pPr>
      <w:jc w:val="center"/>
    </w:pPr>
    <w:rPr>
      <w:i/>
      <w:iCs/>
    </w:rPr>
  </w:style>
  <w:style w:type="paragraph" w:customStyle="1" w:styleId="Reference">
    <w:name w:val="Reference"/>
    <w:basedOn w:val="Normal"/>
    <w:link w:val="ReferenceChar"/>
    <w:rsid w:val="005B0319"/>
    <w:pPr>
      <w:numPr>
        <w:numId w:val="2"/>
      </w:numPr>
    </w:pPr>
  </w:style>
  <w:style w:type="paragraph" w:styleId="BalloonText">
    <w:name w:val="Balloon Text"/>
    <w:basedOn w:val="Normal"/>
    <w:semiHidden/>
    <w:rsid w:val="005B0319"/>
    <w:rPr>
      <w:rFonts w:ascii="Tahoma" w:hAnsi="Tahoma" w:cs="Tahoma"/>
      <w:sz w:val="16"/>
      <w:szCs w:val="16"/>
    </w:rPr>
  </w:style>
  <w:style w:type="character" w:styleId="PageNumber">
    <w:name w:val="page number"/>
    <w:basedOn w:val="DefaultParagraphFont"/>
    <w:semiHidden/>
    <w:rsid w:val="005B0319"/>
  </w:style>
  <w:style w:type="paragraph" w:styleId="BodyText">
    <w:name w:val="Body Text"/>
    <w:basedOn w:val="Normal"/>
    <w:link w:val="BodyTextChar"/>
    <w:rsid w:val="005B0319"/>
  </w:style>
  <w:style w:type="character" w:styleId="Hyperlink">
    <w:name w:val="Hyperlink"/>
    <w:uiPriority w:val="99"/>
    <w:rsid w:val="005B0319"/>
    <w:rPr>
      <w:color w:val="0000FF"/>
      <w:u w:val="single"/>
      <w:lang w:val="en-GB"/>
    </w:rPr>
  </w:style>
  <w:style w:type="character" w:styleId="FollowedHyperlink">
    <w:name w:val="FollowedHyperlink"/>
    <w:semiHidden/>
    <w:rsid w:val="005B0319"/>
    <w:rPr>
      <w:color w:val="FF0000"/>
      <w:u w:val="single"/>
    </w:rPr>
  </w:style>
  <w:style w:type="character" w:styleId="CommentReference">
    <w:name w:val="annotation reference"/>
    <w:semiHidden/>
    <w:rsid w:val="005B0319"/>
    <w:rPr>
      <w:sz w:val="16"/>
      <w:szCs w:val="16"/>
    </w:rPr>
  </w:style>
  <w:style w:type="paragraph" w:styleId="CommentText">
    <w:name w:val="annotation text"/>
    <w:basedOn w:val="Normal"/>
    <w:semiHidden/>
    <w:rsid w:val="005B0319"/>
  </w:style>
  <w:style w:type="paragraph" w:styleId="CommentSubject">
    <w:name w:val="annotation subject"/>
    <w:basedOn w:val="CommentText"/>
    <w:next w:val="CommentText"/>
    <w:semiHidden/>
    <w:rsid w:val="005B031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B0319"/>
    <w:rPr>
      <w:rFonts w:ascii="Arial" w:hAnsi="Arial" w:cs="Arial"/>
      <w:sz w:val="36"/>
      <w:szCs w:val="36"/>
      <w:lang w:val="en-GB" w:eastAsia="zh-CN"/>
    </w:rPr>
  </w:style>
  <w:style w:type="paragraph" w:customStyle="1" w:styleId="B1">
    <w:name w:val="B1"/>
    <w:basedOn w:val="List"/>
    <w:rsid w:val="005B0319"/>
    <w:pPr>
      <w:spacing w:after="180"/>
      <w:jc w:val="left"/>
    </w:pPr>
    <w:rPr>
      <w:lang w:eastAsia="en-US"/>
    </w:rPr>
  </w:style>
  <w:style w:type="paragraph" w:customStyle="1" w:styleId="B2">
    <w:name w:val="B2"/>
    <w:basedOn w:val="List2"/>
    <w:rsid w:val="005B0319"/>
    <w:pPr>
      <w:spacing w:after="180"/>
      <w:jc w:val="left"/>
    </w:pPr>
    <w:rPr>
      <w:lang w:eastAsia="en-US"/>
    </w:rPr>
  </w:style>
  <w:style w:type="paragraph" w:customStyle="1" w:styleId="B3">
    <w:name w:val="B3"/>
    <w:basedOn w:val="List3"/>
    <w:rsid w:val="005B0319"/>
    <w:pPr>
      <w:spacing w:after="180"/>
      <w:jc w:val="left"/>
    </w:pPr>
    <w:rPr>
      <w:lang w:eastAsia="en-US"/>
    </w:rPr>
  </w:style>
  <w:style w:type="paragraph" w:customStyle="1" w:styleId="B4">
    <w:name w:val="B4"/>
    <w:basedOn w:val="List4"/>
    <w:rsid w:val="005B0319"/>
    <w:pPr>
      <w:spacing w:after="180"/>
      <w:jc w:val="left"/>
    </w:pPr>
    <w:rPr>
      <w:lang w:eastAsia="en-US"/>
    </w:rPr>
  </w:style>
  <w:style w:type="paragraph" w:customStyle="1" w:styleId="Proposal">
    <w:name w:val="Proposal"/>
    <w:basedOn w:val="Normal"/>
    <w:rsid w:val="005B0319"/>
    <w:pPr>
      <w:numPr>
        <w:numId w:val="3"/>
      </w:numPr>
      <w:tabs>
        <w:tab w:val="clear" w:pos="1304"/>
        <w:tab w:val="left" w:pos="1701"/>
      </w:tabs>
      <w:ind w:left="1701" w:hanging="1701"/>
    </w:pPr>
    <w:rPr>
      <w:b/>
      <w:bCs/>
    </w:rPr>
  </w:style>
  <w:style w:type="character" w:customStyle="1" w:styleId="BodyTextChar">
    <w:name w:val="Body Text Char"/>
    <w:link w:val="BodyText"/>
    <w:rsid w:val="005B0319"/>
    <w:rPr>
      <w:rFonts w:ascii="Arial" w:hAnsi="Arial"/>
      <w:lang w:val="en-GB" w:eastAsia="zh-CN"/>
    </w:rPr>
  </w:style>
  <w:style w:type="paragraph" w:customStyle="1" w:styleId="B5">
    <w:name w:val="B5"/>
    <w:basedOn w:val="List5"/>
    <w:rsid w:val="005B0319"/>
    <w:pPr>
      <w:spacing w:after="180"/>
      <w:jc w:val="left"/>
    </w:pPr>
    <w:rPr>
      <w:lang w:eastAsia="en-US"/>
    </w:rPr>
  </w:style>
  <w:style w:type="paragraph" w:customStyle="1" w:styleId="EX">
    <w:name w:val="EX"/>
    <w:basedOn w:val="Normal"/>
    <w:rsid w:val="005B0319"/>
    <w:pPr>
      <w:keepLines/>
      <w:spacing w:after="180"/>
      <w:ind w:left="1702" w:hanging="1418"/>
      <w:jc w:val="left"/>
    </w:pPr>
    <w:rPr>
      <w:lang w:eastAsia="en-US"/>
    </w:rPr>
  </w:style>
  <w:style w:type="paragraph" w:customStyle="1" w:styleId="EW">
    <w:name w:val="EW"/>
    <w:basedOn w:val="EX"/>
    <w:rsid w:val="005B0319"/>
    <w:pPr>
      <w:spacing w:after="0"/>
    </w:pPr>
  </w:style>
  <w:style w:type="paragraph" w:customStyle="1" w:styleId="TAL">
    <w:name w:val="TAL"/>
    <w:basedOn w:val="Normal"/>
    <w:link w:val="TALCar"/>
    <w:rsid w:val="005B0319"/>
    <w:pPr>
      <w:keepNext/>
      <w:keepLines/>
      <w:spacing w:after="0"/>
      <w:jc w:val="left"/>
    </w:pPr>
    <w:rPr>
      <w:sz w:val="18"/>
      <w:lang w:eastAsia="en-US"/>
    </w:rPr>
  </w:style>
  <w:style w:type="paragraph" w:customStyle="1" w:styleId="TAC">
    <w:name w:val="TAC"/>
    <w:basedOn w:val="TAL"/>
    <w:rsid w:val="005B0319"/>
    <w:pPr>
      <w:jc w:val="center"/>
    </w:pPr>
  </w:style>
  <w:style w:type="paragraph" w:customStyle="1" w:styleId="TAH">
    <w:name w:val="TAH"/>
    <w:basedOn w:val="TAC"/>
    <w:link w:val="TAHCar"/>
    <w:rsid w:val="005B0319"/>
    <w:rPr>
      <w:b/>
    </w:rPr>
  </w:style>
  <w:style w:type="paragraph" w:customStyle="1" w:styleId="TAN">
    <w:name w:val="TAN"/>
    <w:basedOn w:val="TAL"/>
    <w:rsid w:val="005B0319"/>
    <w:pPr>
      <w:ind w:left="851" w:hanging="851"/>
    </w:pPr>
  </w:style>
  <w:style w:type="paragraph" w:customStyle="1" w:styleId="TAR">
    <w:name w:val="TAR"/>
    <w:basedOn w:val="TAL"/>
    <w:rsid w:val="005B0319"/>
    <w:pPr>
      <w:jc w:val="right"/>
    </w:pPr>
  </w:style>
  <w:style w:type="paragraph" w:customStyle="1" w:styleId="TH">
    <w:name w:val="TH"/>
    <w:basedOn w:val="Normal"/>
    <w:link w:val="THChar"/>
    <w:rsid w:val="005B0319"/>
    <w:pPr>
      <w:keepNext/>
      <w:keepLines/>
      <w:spacing w:before="60" w:after="180"/>
      <w:jc w:val="center"/>
    </w:pPr>
    <w:rPr>
      <w:b/>
      <w:lang w:eastAsia="en-US"/>
    </w:rPr>
  </w:style>
  <w:style w:type="paragraph" w:customStyle="1" w:styleId="TF">
    <w:name w:val="TF"/>
    <w:basedOn w:val="TH"/>
    <w:rsid w:val="005B0319"/>
    <w:pPr>
      <w:keepNext w:val="0"/>
      <w:spacing w:before="0" w:after="240"/>
    </w:pPr>
  </w:style>
  <w:style w:type="paragraph" w:customStyle="1" w:styleId="TT">
    <w:name w:val="TT"/>
    <w:basedOn w:val="Heading1"/>
    <w:next w:val="Normal"/>
    <w:rsid w:val="005B0319"/>
    <w:pPr>
      <w:numPr>
        <w:numId w:val="0"/>
      </w:numPr>
      <w:ind w:left="1134" w:hanging="1134"/>
      <w:outlineLvl w:val="9"/>
    </w:pPr>
    <w:rPr>
      <w:rFonts w:cs="Times New Roman"/>
      <w:szCs w:val="20"/>
      <w:lang w:eastAsia="en-US"/>
    </w:rPr>
  </w:style>
  <w:style w:type="paragraph" w:customStyle="1" w:styleId="ZA">
    <w:name w:val="ZA"/>
    <w:rsid w:val="005B0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0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03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B03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B0319"/>
  </w:style>
  <w:style w:type="paragraph" w:customStyle="1" w:styleId="ZH">
    <w:name w:val="ZH"/>
    <w:rsid w:val="005B03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B03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B0319"/>
    <w:pPr>
      <w:framePr w:hRule="auto" w:wrap="notBeside" w:y="852"/>
    </w:pPr>
    <w:rPr>
      <w:i w:val="0"/>
      <w:sz w:val="40"/>
    </w:rPr>
  </w:style>
  <w:style w:type="paragraph" w:customStyle="1" w:styleId="ZU">
    <w:name w:val="ZU"/>
    <w:rsid w:val="005B0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0319"/>
    <w:pPr>
      <w:framePr w:wrap="notBeside" w:y="16161"/>
    </w:pPr>
  </w:style>
  <w:style w:type="paragraph" w:customStyle="1" w:styleId="FP">
    <w:name w:val="FP"/>
    <w:basedOn w:val="Normal"/>
    <w:rsid w:val="005B0319"/>
    <w:pPr>
      <w:spacing w:after="0"/>
      <w:jc w:val="left"/>
    </w:pPr>
    <w:rPr>
      <w:lang w:eastAsia="en-US"/>
    </w:rPr>
  </w:style>
  <w:style w:type="paragraph" w:customStyle="1" w:styleId="Observation">
    <w:name w:val="Observation"/>
    <w:basedOn w:val="Proposal"/>
    <w:qFormat/>
    <w:rsid w:val="005B0319"/>
    <w:pPr>
      <w:numPr>
        <w:numId w:val="9"/>
      </w:numPr>
      <w:ind w:left="1701" w:hanging="1701"/>
    </w:pPr>
  </w:style>
  <w:style w:type="paragraph" w:styleId="TableofFigures">
    <w:name w:val="table of figures"/>
    <w:basedOn w:val="Normal"/>
    <w:next w:val="Normal"/>
    <w:uiPriority w:val="99"/>
    <w:rsid w:val="005B0319"/>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4D112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rPr>
  </w:style>
  <w:style w:type="character" w:customStyle="1" w:styleId="HeaderChar">
    <w:name w:val="Header Char"/>
    <w:basedOn w:val="DefaultParagraphFont"/>
    <w:link w:val="Header"/>
    <w:rsid w:val="00520803"/>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01930842">
      <w:bodyDiv w:val="1"/>
      <w:marLeft w:val="0"/>
      <w:marRight w:val="0"/>
      <w:marTop w:val="0"/>
      <w:marBottom w:val="0"/>
      <w:divBdr>
        <w:top w:val="none" w:sz="0" w:space="0" w:color="auto"/>
        <w:left w:val="none" w:sz="0" w:space="0" w:color="auto"/>
        <w:bottom w:val="none" w:sz="0" w:space="0" w:color="auto"/>
        <w:right w:val="none" w:sz="0" w:space="0" w:color="auto"/>
      </w:divBdr>
      <w:divsChild>
        <w:div w:id="906454246">
          <w:marLeft w:val="835"/>
          <w:marRight w:val="0"/>
          <w:marTop w:val="96"/>
          <w:marBottom w:val="0"/>
          <w:divBdr>
            <w:top w:val="none" w:sz="0" w:space="0" w:color="auto"/>
            <w:left w:val="none" w:sz="0" w:space="0" w:color="auto"/>
            <w:bottom w:val="none" w:sz="0" w:space="0" w:color="auto"/>
            <w:right w:val="none" w:sz="0" w:space="0" w:color="auto"/>
          </w:divBdr>
        </w:div>
        <w:div w:id="485823843">
          <w:marLeft w:val="1411"/>
          <w:marRight w:val="0"/>
          <w:marTop w:val="96"/>
          <w:marBottom w:val="0"/>
          <w:divBdr>
            <w:top w:val="none" w:sz="0" w:space="0" w:color="auto"/>
            <w:left w:val="none" w:sz="0" w:space="0" w:color="auto"/>
            <w:bottom w:val="none" w:sz="0" w:space="0" w:color="auto"/>
            <w:right w:val="none" w:sz="0" w:space="0" w:color="auto"/>
          </w:divBdr>
        </w:div>
        <w:div w:id="2009360615">
          <w:marLeft w:val="1411"/>
          <w:marRight w:val="0"/>
          <w:marTop w:val="96"/>
          <w:marBottom w:val="0"/>
          <w:divBdr>
            <w:top w:val="none" w:sz="0" w:space="0" w:color="auto"/>
            <w:left w:val="none" w:sz="0" w:space="0" w:color="auto"/>
            <w:bottom w:val="none" w:sz="0" w:space="0" w:color="auto"/>
            <w:right w:val="none" w:sz="0" w:space="0" w:color="auto"/>
          </w:divBdr>
        </w:div>
        <w:div w:id="1826817252">
          <w:marLeft w:val="1411"/>
          <w:marRight w:val="0"/>
          <w:marTop w:val="96"/>
          <w:marBottom w:val="0"/>
          <w:divBdr>
            <w:top w:val="none" w:sz="0" w:space="0" w:color="auto"/>
            <w:left w:val="none" w:sz="0" w:space="0" w:color="auto"/>
            <w:bottom w:val="none" w:sz="0" w:space="0" w:color="auto"/>
            <w:right w:val="none" w:sz="0" w:space="0" w:color="auto"/>
          </w:divBdr>
        </w:div>
        <w:div w:id="2144689368">
          <w:marLeft w:val="1411"/>
          <w:marRight w:val="0"/>
          <w:marTop w:val="96"/>
          <w:marBottom w:val="0"/>
          <w:divBdr>
            <w:top w:val="none" w:sz="0" w:space="0" w:color="auto"/>
            <w:left w:val="none" w:sz="0" w:space="0" w:color="auto"/>
            <w:bottom w:val="none" w:sz="0" w:space="0" w:color="auto"/>
            <w:right w:val="none" w:sz="0" w:space="0" w:color="auto"/>
          </w:divBdr>
        </w:div>
        <w:div w:id="1233616629">
          <w:marLeft w:val="1973"/>
          <w:marRight w:val="0"/>
          <w:marTop w:val="96"/>
          <w:marBottom w:val="0"/>
          <w:divBdr>
            <w:top w:val="none" w:sz="0" w:space="0" w:color="auto"/>
            <w:left w:val="none" w:sz="0" w:space="0" w:color="auto"/>
            <w:bottom w:val="none" w:sz="0" w:space="0" w:color="auto"/>
            <w:right w:val="none" w:sz="0" w:space="0" w:color="auto"/>
          </w:divBdr>
        </w:div>
        <w:div w:id="1486623262">
          <w:marLeft w:val="1973"/>
          <w:marRight w:val="0"/>
          <w:marTop w:val="96"/>
          <w:marBottom w:val="0"/>
          <w:divBdr>
            <w:top w:val="none" w:sz="0" w:space="0" w:color="auto"/>
            <w:left w:val="none" w:sz="0" w:space="0" w:color="auto"/>
            <w:bottom w:val="none" w:sz="0" w:space="0" w:color="auto"/>
            <w:right w:val="none" w:sz="0" w:space="0" w:color="auto"/>
          </w:divBdr>
        </w:div>
        <w:div w:id="1505438914">
          <w:marLeft w:val="835"/>
          <w:marRight w:val="0"/>
          <w:marTop w:val="96"/>
          <w:marBottom w:val="0"/>
          <w:divBdr>
            <w:top w:val="none" w:sz="0" w:space="0" w:color="auto"/>
            <w:left w:val="none" w:sz="0" w:space="0" w:color="auto"/>
            <w:bottom w:val="none" w:sz="0" w:space="0" w:color="auto"/>
            <w:right w:val="none" w:sz="0" w:space="0" w:color="auto"/>
          </w:divBdr>
        </w:div>
        <w:div w:id="1369988537">
          <w:marLeft w:val="1843"/>
          <w:marRight w:val="0"/>
          <w:marTop w:val="96"/>
          <w:marBottom w:val="0"/>
          <w:divBdr>
            <w:top w:val="none" w:sz="0" w:space="0" w:color="auto"/>
            <w:left w:val="none" w:sz="0" w:space="0" w:color="auto"/>
            <w:bottom w:val="none" w:sz="0" w:space="0" w:color="auto"/>
            <w:right w:val="none" w:sz="0" w:space="0" w:color="auto"/>
          </w:divBdr>
        </w:div>
        <w:div w:id="1564683357">
          <w:marLeft w:val="1843"/>
          <w:marRight w:val="0"/>
          <w:marTop w:val="96"/>
          <w:marBottom w:val="0"/>
          <w:divBdr>
            <w:top w:val="none" w:sz="0" w:space="0" w:color="auto"/>
            <w:left w:val="none" w:sz="0" w:space="0" w:color="auto"/>
            <w:bottom w:val="none" w:sz="0" w:space="0" w:color="auto"/>
            <w:right w:val="none" w:sz="0" w:space="0" w:color="auto"/>
          </w:divBdr>
        </w:div>
      </w:divsChild>
    </w:div>
    <w:div w:id="407069917">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505873540">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77008637">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1019310850">
      <w:bodyDiv w:val="1"/>
      <w:marLeft w:val="0"/>
      <w:marRight w:val="0"/>
      <w:marTop w:val="0"/>
      <w:marBottom w:val="0"/>
      <w:divBdr>
        <w:top w:val="none" w:sz="0" w:space="0" w:color="auto"/>
        <w:left w:val="none" w:sz="0" w:space="0" w:color="auto"/>
        <w:bottom w:val="none" w:sz="0" w:space="0" w:color="auto"/>
        <w:right w:val="none" w:sz="0" w:space="0" w:color="auto"/>
      </w:divBdr>
      <w:divsChild>
        <w:div w:id="1942373292">
          <w:marLeft w:val="274"/>
          <w:marRight w:val="0"/>
          <w:marTop w:val="115"/>
          <w:marBottom w:val="0"/>
          <w:divBdr>
            <w:top w:val="none" w:sz="0" w:space="0" w:color="auto"/>
            <w:left w:val="none" w:sz="0" w:space="0" w:color="auto"/>
            <w:bottom w:val="none" w:sz="0" w:space="0" w:color="auto"/>
            <w:right w:val="none" w:sz="0" w:space="0" w:color="auto"/>
          </w:divBdr>
        </w:div>
        <w:div w:id="1737388411">
          <w:marLeft w:val="274"/>
          <w:marRight w:val="0"/>
          <w:marTop w:val="115"/>
          <w:marBottom w:val="0"/>
          <w:divBdr>
            <w:top w:val="none" w:sz="0" w:space="0" w:color="auto"/>
            <w:left w:val="none" w:sz="0" w:space="0" w:color="auto"/>
            <w:bottom w:val="none" w:sz="0" w:space="0" w:color="auto"/>
            <w:right w:val="none" w:sz="0" w:space="0" w:color="auto"/>
          </w:divBdr>
        </w:div>
        <w:div w:id="857277006">
          <w:marLeft w:val="274"/>
          <w:marRight w:val="0"/>
          <w:marTop w:val="115"/>
          <w:marBottom w:val="0"/>
          <w:divBdr>
            <w:top w:val="none" w:sz="0" w:space="0" w:color="auto"/>
            <w:left w:val="none" w:sz="0" w:space="0" w:color="auto"/>
            <w:bottom w:val="none" w:sz="0" w:space="0" w:color="auto"/>
            <w:right w:val="none" w:sz="0" w:space="0" w:color="auto"/>
          </w:divBdr>
        </w:div>
        <w:div w:id="2138374346">
          <w:marLeft w:val="274"/>
          <w:marRight w:val="0"/>
          <w:marTop w:val="96"/>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178961">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522478044">
      <w:bodyDiv w:val="1"/>
      <w:marLeft w:val="0"/>
      <w:marRight w:val="0"/>
      <w:marTop w:val="0"/>
      <w:marBottom w:val="0"/>
      <w:divBdr>
        <w:top w:val="none" w:sz="0" w:space="0" w:color="auto"/>
        <w:left w:val="none" w:sz="0" w:space="0" w:color="auto"/>
        <w:bottom w:val="none" w:sz="0" w:space="0" w:color="auto"/>
        <w:right w:val="none" w:sz="0" w:space="0" w:color="auto"/>
      </w:divBdr>
    </w:div>
    <w:div w:id="1545486187">
      <w:bodyDiv w:val="1"/>
      <w:marLeft w:val="0"/>
      <w:marRight w:val="0"/>
      <w:marTop w:val="0"/>
      <w:marBottom w:val="0"/>
      <w:divBdr>
        <w:top w:val="none" w:sz="0" w:space="0" w:color="auto"/>
        <w:left w:val="none" w:sz="0" w:space="0" w:color="auto"/>
        <w:bottom w:val="none" w:sz="0" w:space="0" w:color="auto"/>
        <w:right w:val="none" w:sz="0" w:space="0" w:color="auto"/>
      </w:divBdr>
    </w:div>
    <w:div w:id="1607691218">
      <w:bodyDiv w:val="1"/>
      <w:marLeft w:val="0"/>
      <w:marRight w:val="0"/>
      <w:marTop w:val="0"/>
      <w:marBottom w:val="0"/>
      <w:divBdr>
        <w:top w:val="none" w:sz="0" w:space="0" w:color="auto"/>
        <w:left w:val="none" w:sz="0" w:space="0" w:color="auto"/>
        <w:bottom w:val="none" w:sz="0" w:space="0" w:color="auto"/>
        <w:right w:val="none" w:sz="0" w:space="0" w:color="auto"/>
      </w:divBdr>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61166094">
      <w:bodyDiv w:val="1"/>
      <w:marLeft w:val="0"/>
      <w:marRight w:val="0"/>
      <w:marTop w:val="0"/>
      <w:marBottom w:val="0"/>
      <w:divBdr>
        <w:top w:val="none" w:sz="0" w:space="0" w:color="auto"/>
        <w:left w:val="none" w:sz="0" w:space="0" w:color="auto"/>
        <w:bottom w:val="none" w:sz="0" w:space="0" w:color="auto"/>
        <w:right w:val="none" w:sz="0" w:space="0" w:color="auto"/>
      </w:divBdr>
    </w:div>
    <w:div w:id="1986155089">
      <w:bodyDiv w:val="1"/>
      <w:marLeft w:val="0"/>
      <w:marRight w:val="0"/>
      <w:marTop w:val="0"/>
      <w:marBottom w:val="0"/>
      <w:divBdr>
        <w:top w:val="none" w:sz="0" w:space="0" w:color="auto"/>
        <w:left w:val="none" w:sz="0" w:space="0" w:color="auto"/>
        <w:bottom w:val="none" w:sz="0" w:space="0" w:color="auto"/>
        <w:right w:val="none" w:sz="0" w:space="0" w:color="auto"/>
      </w:divBdr>
      <w:divsChild>
        <w:div w:id="2088988604">
          <w:marLeft w:val="547"/>
          <w:marRight w:val="0"/>
          <w:marTop w:val="144"/>
          <w:marBottom w:val="0"/>
          <w:divBdr>
            <w:top w:val="none" w:sz="0" w:space="0" w:color="auto"/>
            <w:left w:val="none" w:sz="0" w:space="0" w:color="auto"/>
            <w:bottom w:val="none" w:sz="0" w:space="0" w:color="auto"/>
            <w:right w:val="none" w:sz="0" w:space="0" w:color="auto"/>
          </w:divBdr>
        </w:div>
        <w:div w:id="780298400">
          <w:marLeft w:val="1166"/>
          <w:marRight w:val="0"/>
          <w:marTop w:val="125"/>
          <w:marBottom w:val="0"/>
          <w:divBdr>
            <w:top w:val="none" w:sz="0" w:space="0" w:color="auto"/>
            <w:left w:val="none" w:sz="0" w:space="0" w:color="auto"/>
            <w:bottom w:val="none" w:sz="0" w:space="0" w:color="auto"/>
            <w:right w:val="none" w:sz="0" w:space="0" w:color="auto"/>
          </w:divBdr>
        </w:div>
        <w:div w:id="1731540728">
          <w:marLeft w:val="1166"/>
          <w:marRight w:val="0"/>
          <w:marTop w:val="125"/>
          <w:marBottom w:val="0"/>
          <w:divBdr>
            <w:top w:val="none" w:sz="0" w:space="0" w:color="auto"/>
            <w:left w:val="none" w:sz="0" w:space="0" w:color="auto"/>
            <w:bottom w:val="none" w:sz="0" w:space="0" w:color="auto"/>
            <w:right w:val="none" w:sz="0" w:space="0" w:color="auto"/>
          </w:divBdr>
        </w:div>
        <w:div w:id="1274827762">
          <w:marLeft w:val="547"/>
          <w:marRight w:val="0"/>
          <w:marTop w:val="144"/>
          <w:marBottom w:val="0"/>
          <w:divBdr>
            <w:top w:val="none" w:sz="0" w:space="0" w:color="auto"/>
            <w:left w:val="none" w:sz="0" w:space="0" w:color="auto"/>
            <w:bottom w:val="none" w:sz="0" w:space="0" w:color="auto"/>
            <w:right w:val="none" w:sz="0" w:space="0" w:color="auto"/>
          </w:divBdr>
        </w:div>
        <w:div w:id="1282222308">
          <w:marLeft w:val="1166"/>
          <w:marRight w:val="0"/>
          <w:marTop w:val="125"/>
          <w:marBottom w:val="0"/>
          <w:divBdr>
            <w:top w:val="none" w:sz="0" w:space="0" w:color="auto"/>
            <w:left w:val="none" w:sz="0" w:space="0" w:color="auto"/>
            <w:bottom w:val="none" w:sz="0" w:space="0" w:color="auto"/>
            <w:right w:val="none" w:sz="0" w:space="0" w:color="auto"/>
          </w:divBdr>
        </w:div>
        <w:div w:id="587079059">
          <w:marLeft w:val="1166"/>
          <w:marRight w:val="0"/>
          <w:marTop w:val="125"/>
          <w:marBottom w:val="0"/>
          <w:divBdr>
            <w:top w:val="none" w:sz="0" w:space="0" w:color="auto"/>
            <w:left w:val="none" w:sz="0" w:space="0" w:color="auto"/>
            <w:bottom w:val="none" w:sz="0" w:space="0" w:color="auto"/>
            <w:right w:val="none" w:sz="0" w:space="0" w:color="auto"/>
          </w:divBdr>
        </w:div>
        <w:div w:id="1416122676">
          <w:marLeft w:val="547"/>
          <w:marRight w:val="0"/>
          <w:marTop w:val="144"/>
          <w:marBottom w:val="0"/>
          <w:divBdr>
            <w:top w:val="none" w:sz="0" w:space="0" w:color="auto"/>
            <w:left w:val="none" w:sz="0" w:space="0" w:color="auto"/>
            <w:bottom w:val="none" w:sz="0" w:space="0" w:color="auto"/>
            <w:right w:val="none" w:sz="0" w:space="0" w:color="auto"/>
          </w:divBdr>
        </w:div>
        <w:div w:id="732313620">
          <w:marLeft w:val="1166"/>
          <w:marRight w:val="0"/>
          <w:marTop w:val="125"/>
          <w:marBottom w:val="0"/>
          <w:divBdr>
            <w:top w:val="none" w:sz="0" w:space="0" w:color="auto"/>
            <w:left w:val="none" w:sz="0" w:space="0" w:color="auto"/>
            <w:bottom w:val="none" w:sz="0" w:space="0" w:color="auto"/>
            <w:right w:val="none" w:sz="0" w:space="0" w:color="auto"/>
          </w:divBdr>
        </w:div>
        <w:div w:id="1182669003">
          <w:marLeft w:val="1800"/>
          <w:marRight w:val="0"/>
          <w:marTop w:val="106"/>
          <w:marBottom w:val="0"/>
          <w:divBdr>
            <w:top w:val="none" w:sz="0" w:space="0" w:color="auto"/>
            <w:left w:val="none" w:sz="0" w:space="0" w:color="auto"/>
            <w:bottom w:val="none" w:sz="0" w:space="0" w:color="auto"/>
            <w:right w:val="none" w:sz="0" w:space="0" w:color="auto"/>
          </w:divBdr>
        </w:div>
        <w:div w:id="1465655768">
          <w:marLeft w:val="1800"/>
          <w:marRight w:val="0"/>
          <w:marTop w:val="106"/>
          <w:marBottom w:val="0"/>
          <w:divBdr>
            <w:top w:val="none" w:sz="0" w:space="0" w:color="auto"/>
            <w:left w:val="none" w:sz="0" w:space="0" w:color="auto"/>
            <w:bottom w:val="none" w:sz="0" w:space="0" w:color="auto"/>
            <w:right w:val="none" w:sz="0" w:space="0" w:color="auto"/>
          </w:divBdr>
        </w:div>
      </w:divsChild>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5NUHHDQN7SK2-1-185138</_dlc_DocId>
    <TaxCatchAll xmlns="08b2df90-05d3-4030-90d4-c9feeb4a1cd9">
      <Value>10</Value>
      <Value>9</Value>
      <Value>8</Value>
      <Value>3</Value>
      <Value>1</Value>
    </TaxCatchAll>
    <_dlc_DocIdUrl xmlns="08b2df90-05d3-4030-90d4-c9feeb4a1cd9">
      <Url>https://ericoll.internal.ericsson.com/sites/star/_layouts/DocIdRedir.aspx?ID=5NUHHDQN7SK2-1-185138</Url>
      <Description>5NUHHDQN7SK2-1-185138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2.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4FE81070-F730-48EC-A8F3-5272A7734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473</TotalTime>
  <Pages>1</Pages>
  <Words>1681</Words>
  <Characters>13617</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41</cp:revision>
  <cp:lastPrinted>2016-08-03T08:58:00Z</cp:lastPrinted>
  <dcterms:created xsi:type="dcterms:W3CDTF">2017-11-02T18:19:00Z</dcterms:created>
  <dcterms:modified xsi:type="dcterms:W3CDTF">2017-11-17T03:51:00Z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d87c44c1-76a1-47f1-bf15-1c8c0f6de0ac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